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DAF896">
      <w:pPr>
        <w:rPr>
          <w:rFonts w:hint="eastAsia"/>
          <w:sz w:val="28"/>
          <w:szCs w:val="28"/>
          <w:lang w:val="en-US" w:eastAsia="zh-CN"/>
        </w:rPr>
      </w:pPr>
    </w:p>
    <w:p w14:paraId="5DA55809">
      <w:pPr>
        <w:rPr>
          <w:rFonts w:hint="eastAsia"/>
          <w:sz w:val="28"/>
          <w:szCs w:val="28"/>
          <w:lang w:val="en-US" w:eastAsia="zh-CN"/>
        </w:rPr>
      </w:pPr>
    </w:p>
    <w:p w14:paraId="796F0BCE">
      <w:pPr>
        <w:rPr>
          <w:rFonts w:hint="eastAsia"/>
          <w:sz w:val="28"/>
          <w:szCs w:val="28"/>
          <w:lang w:val="en-US" w:eastAsia="zh-CN"/>
        </w:rPr>
      </w:pPr>
    </w:p>
    <w:p w14:paraId="09A5B4A0">
      <w:pPr>
        <w:rPr>
          <w:rFonts w:hint="eastAsia"/>
          <w:sz w:val="28"/>
          <w:szCs w:val="28"/>
          <w:lang w:val="en-US" w:eastAsia="zh-CN"/>
        </w:rPr>
      </w:pPr>
    </w:p>
    <w:p w14:paraId="5FB9C41D">
      <w:pPr>
        <w:rPr>
          <w:rFonts w:hint="eastAsia"/>
          <w:sz w:val="28"/>
          <w:szCs w:val="28"/>
          <w:lang w:val="en-US" w:eastAsia="zh-CN"/>
        </w:rPr>
      </w:pPr>
    </w:p>
    <w:p w14:paraId="2E7A8FD7">
      <w:pPr>
        <w:jc w:val="center"/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  <w:t>龙煤宏泰电商平台汇采商城</w:t>
      </w:r>
    </w:p>
    <w:p w14:paraId="69E26DC8">
      <w:pPr>
        <w:jc w:val="center"/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  <w:t>用户操作手册（供应商）</w:t>
      </w:r>
    </w:p>
    <w:p w14:paraId="156F9A83">
      <w:pPr>
        <w:jc w:val="center"/>
        <w:rPr>
          <w:rFonts w:hint="default"/>
          <w:sz w:val="32"/>
          <w:szCs w:val="32"/>
          <w:lang w:val="en-US" w:eastAsia="zh-CN"/>
        </w:rPr>
      </w:pPr>
    </w:p>
    <w:p w14:paraId="4CC82636">
      <w:pPr>
        <w:jc w:val="both"/>
        <w:rPr>
          <w:rFonts w:hint="eastAsia"/>
          <w:sz w:val="28"/>
          <w:szCs w:val="28"/>
          <w:lang w:val="en-US" w:eastAsia="zh-CN"/>
        </w:rPr>
      </w:pPr>
    </w:p>
    <w:p w14:paraId="667052D2">
      <w:pPr>
        <w:jc w:val="both"/>
        <w:rPr>
          <w:rFonts w:hint="eastAsia"/>
          <w:sz w:val="28"/>
          <w:szCs w:val="28"/>
          <w:lang w:val="en-US" w:eastAsia="zh-CN"/>
        </w:rPr>
      </w:pPr>
    </w:p>
    <w:p w14:paraId="610866FE">
      <w:pPr>
        <w:jc w:val="both"/>
        <w:rPr>
          <w:rFonts w:hint="eastAsia"/>
          <w:sz w:val="28"/>
          <w:szCs w:val="28"/>
          <w:lang w:val="en-US" w:eastAsia="zh-CN"/>
        </w:rPr>
      </w:pPr>
    </w:p>
    <w:p w14:paraId="35B03306">
      <w:pPr>
        <w:jc w:val="both"/>
        <w:rPr>
          <w:rFonts w:hint="eastAsia"/>
          <w:sz w:val="28"/>
          <w:szCs w:val="28"/>
          <w:lang w:val="en-US" w:eastAsia="zh-CN"/>
        </w:rPr>
      </w:pPr>
    </w:p>
    <w:p w14:paraId="0509B4C1">
      <w:pPr>
        <w:jc w:val="both"/>
        <w:rPr>
          <w:rFonts w:hint="eastAsia"/>
          <w:sz w:val="28"/>
          <w:szCs w:val="28"/>
          <w:lang w:val="en-US" w:eastAsia="zh-CN"/>
        </w:rPr>
      </w:pPr>
    </w:p>
    <w:p w14:paraId="71BE3822">
      <w:pPr>
        <w:jc w:val="both"/>
        <w:rPr>
          <w:rFonts w:hint="eastAsia"/>
          <w:sz w:val="28"/>
          <w:szCs w:val="28"/>
          <w:lang w:val="en-US" w:eastAsia="zh-CN"/>
        </w:rPr>
      </w:pPr>
    </w:p>
    <w:p w14:paraId="7ABF8D18">
      <w:pPr>
        <w:jc w:val="center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编制单位：黑龙江龙煤宏泰国际贸易有限公司</w:t>
      </w:r>
    </w:p>
    <w:p w14:paraId="3C2906DA">
      <w:pPr>
        <w:jc w:val="center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版本号：V1.0</w:t>
      </w:r>
    </w:p>
    <w:p w14:paraId="6AEE3445">
      <w:pPr>
        <w:jc w:val="center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编制日期：2026年5月</w:t>
      </w:r>
    </w:p>
    <w:p w14:paraId="231DB8BB"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br w:type="page"/>
      </w:r>
    </w:p>
    <w:p w14:paraId="76E76720">
      <w:pPr>
        <w:jc w:val="center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0264A2C6">
      <w:pPr>
        <w:jc w:val="center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修订记录</w:t>
      </w:r>
    </w:p>
    <w:tbl>
      <w:tblPr>
        <w:tblStyle w:val="19"/>
        <w:tblW w:w="99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2"/>
        <w:gridCol w:w="1470"/>
        <w:gridCol w:w="1260"/>
        <w:gridCol w:w="1935"/>
        <w:gridCol w:w="2118"/>
        <w:gridCol w:w="1229"/>
        <w:gridCol w:w="1135"/>
      </w:tblGrid>
      <w:tr w14:paraId="722D2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  <w:jc w:val="center"/>
        </w:trPr>
        <w:tc>
          <w:tcPr>
            <w:tcW w:w="782" w:type="dxa"/>
            <w:noWrap w:val="0"/>
            <w:vAlign w:val="center"/>
          </w:tcPr>
          <w:p w14:paraId="45F5C064">
            <w:pPr>
              <w:jc w:val="center"/>
              <w:rPr>
                <w:rFonts w:hint="eastAsia" w:ascii="仿宋" w:hAnsi="仿宋" w:eastAsia="仿宋" w:cs="仿宋"/>
                <w:b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470" w:type="dxa"/>
            <w:noWrap w:val="0"/>
            <w:vAlign w:val="center"/>
          </w:tcPr>
          <w:p w14:paraId="1F50E5D1">
            <w:pPr>
              <w:jc w:val="center"/>
              <w:rPr>
                <w:rFonts w:hint="eastAsia" w:ascii="仿宋" w:hAnsi="仿宋" w:eastAsia="仿宋" w:cs="仿宋"/>
                <w:b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日期</w:t>
            </w:r>
          </w:p>
        </w:tc>
        <w:tc>
          <w:tcPr>
            <w:tcW w:w="1260" w:type="dxa"/>
            <w:noWrap w:val="0"/>
            <w:vAlign w:val="center"/>
          </w:tcPr>
          <w:p w14:paraId="1FD258FE">
            <w:pPr>
              <w:jc w:val="center"/>
              <w:rPr>
                <w:rFonts w:hint="eastAsia" w:ascii="仿宋" w:hAnsi="仿宋" w:eastAsia="仿宋" w:cs="仿宋"/>
                <w:b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修订人</w:t>
            </w:r>
          </w:p>
        </w:tc>
        <w:tc>
          <w:tcPr>
            <w:tcW w:w="1935" w:type="dxa"/>
            <w:noWrap w:val="0"/>
            <w:vAlign w:val="center"/>
          </w:tcPr>
          <w:p w14:paraId="0ADB261B">
            <w:pPr>
              <w:jc w:val="center"/>
              <w:rPr>
                <w:rFonts w:hint="eastAsia" w:ascii="仿宋" w:hAnsi="仿宋" w:eastAsia="仿宋" w:cs="仿宋"/>
                <w:b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修订章节号</w:t>
            </w:r>
          </w:p>
        </w:tc>
        <w:tc>
          <w:tcPr>
            <w:tcW w:w="2118" w:type="dxa"/>
            <w:noWrap w:val="0"/>
            <w:vAlign w:val="center"/>
          </w:tcPr>
          <w:p w14:paraId="62FC2647">
            <w:pPr>
              <w:jc w:val="center"/>
              <w:rPr>
                <w:rFonts w:hint="eastAsia" w:ascii="仿宋" w:hAnsi="仿宋" w:eastAsia="仿宋" w:cs="仿宋"/>
                <w:b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修订内容</w:t>
            </w:r>
          </w:p>
        </w:tc>
        <w:tc>
          <w:tcPr>
            <w:tcW w:w="1229" w:type="dxa"/>
            <w:noWrap w:val="0"/>
            <w:vAlign w:val="center"/>
          </w:tcPr>
          <w:p w14:paraId="74EEFFD5">
            <w:pPr>
              <w:jc w:val="center"/>
              <w:rPr>
                <w:rFonts w:hint="eastAsia" w:ascii="仿宋" w:hAnsi="仿宋" w:eastAsia="仿宋" w:cs="仿宋"/>
                <w:b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版本</w:t>
            </w:r>
          </w:p>
        </w:tc>
        <w:tc>
          <w:tcPr>
            <w:tcW w:w="1135" w:type="dxa"/>
            <w:noWrap w:val="0"/>
            <w:vAlign w:val="center"/>
          </w:tcPr>
          <w:p w14:paraId="6C8969F7">
            <w:pPr>
              <w:jc w:val="center"/>
              <w:rPr>
                <w:rFonts w:hint="eastAsia" w:ascii="仿宋" w:hAnsi="仿宋" w:eastAsia="仿宋" w:cs="仿宋"/>
                <w:b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 w14:paraId="6C1148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  <w:jc w:val="center"/>
        </w:trPr>
        <w:tc>
          <w:tcPr>
            <w:tcW w:w="782" w:type="dxa"/>
            <w:noWrap w:val="0"/>
            <w:vAlign w:val="center"/>
          </w:tcPr>
          <w:p w14:paraId="6CEBA078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470" w:type="dxa"/>
            <w:noWrap w:val="0"/>
            <w:vAlign w:val="center"/>
          </w:tcPr>
          <w:p w14:paraId="23E08505">
            <w:pPr>
              <w:jc w:val="center"/>
              <w:rPr>
                <w:rFonts w:hint="default" w:ascii="仿宋" w:hAnsi="仿宋" w:eastAsia="仿宋" w:cs="仿宋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  <w:t>2026-04-30</w:t>
            </w:r>
          </w:p>
        </w:tc>
        <w:tc>
          <w:tcPr>
            <w:tcW w:w="1260" w:type="dxa"/>
            <w:noWrap w:val="0"/>
            <w:vAlign w:val="center"/>
          </w:tcPr>
          <w:p w14:paraId="66D0CC7D">
            <w:pPr>
              <w:jc w:val="center"/>
              <w:rPr>
                <w:rFonts w:hint="default" w:ascii="仿宋" w:hAnsi="仿宋" w:eastAsia="仿宋" w:cs="仿宋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  <w:t>龙煤宏泰</w:t>
            </w:r>
          </w:p>
        </w:tc>
        <w:tc>
          <w:tcPr>
            <w:tcW w:w="1935" w:type="dxa"/>
            <w:noWrap w:val="0"/>
            <w:vAlign w:val="center"/>
          </w:tcPr>
          <w:p w14:paraId="167659AF">
            <w:pPr>
              <w:jc w:val="center"/>
              <w:rPr>
                <w:rFonts w:hint="default" w:ascii="仿宋" w:hAnsi="仿宋" w:eastAsia="仿宋" w:cs="仿宋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  <w:t>全文</w:t>
            </w:r>
          </w:p>
        </w:tc>
        <w:tc>
          <w:tcPr>
            <w:tcW w:w="2118" w:type="dxa"/>
            <w:noWrap w:val="0"/>
            <w:vAlign w:val="center"/>
          </w:tcPr>
          <w:p w14:paraId="34F6FD89">
            <w:pPr>
              <w:jc w:val="center"/>
              <w:rPr>
                <w:rFonts w:hint="default" w:ascii="仿宋" w:hAnsi="仿宋" w:eastAsia="仿宋" w:cs="仿宋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  <w:t>创建文档</w:t>
            </w:r>
          </w:p>
        </w:tc>
        <w:tc>
          <w:tcPr>
            <w:tcW w:w="1229" w:type="dxa"/>
            <w:noWrap w:val="0"/>
            <w:vAlign w:val="center"/>
          </w:tcPr>
          <w:p w14:paraId="43C5CC3A">
            <w:pPr>
              <w:jc w:val="center"/>
              <w:rPr>
                <w:rFonts w:hint="default" w:ascii="仿宋" w:hAnsi="仿宋" w:eastAsia="仿宋" w:cs="仿宋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  <w:t>V1.0</w:t>
            </w:r>
          </w:p>
        </w:tc>
        <w:tc>
          <w:tcPr>
            <w:tcW w:w="1135" w:type="dxa"/>
            <w:noWrap w:val="0"/>
            <w:vAlign w:val="center"/>
          </w:tcPr>
          <w:p w14:paraId="09590A36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  <w:szCs w:val="24"/>
                <w:vertAlign w:val="baseline"/>
              </w:rPr>
            </w:pPr>
          </w:p>
        </w:tc>
      </w:tr>
      <w:tr w14:paraId="3D4CB7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exact"/>
          <w:jc w:val="center"/>
        </w:trPr>
        <w:tc>
          <w:tcPr>
            <w:tcW w:w="782" w:type="dxa"/>
            <w:noWrap w:val="0"/>
            <w:vAlign w:val="center"/>
          </w:tcPr>
          <w:p w14:paraId="3D4A1E95">
            <w:pPr>
              <w:jc w:val="center"/>
              <w:rPr>
                <w:rFonts w:hint="default" w:ascii="仿宋" w:hAnsi="仿宋" w:eastAsia="仿宋" w:cs="仿宋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676DF763">
            <w:pPr>
              <w:jc w:val="center"/>
              <w:rPr>
                <w:rFonts w:hint="default" w:ascii="仿宋" w:hAnsi="仿宋" w:eastAsia="仿宋" w:cs="仿宋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777A2E6A">
            <w:pPr>
              <w:jc w:val="center"/>
              <w:rPr>
                <w:rFonts w:hint="default" w:ascii="仿宋" w:hAnsi="仿宋" w:eastAsia="仿宋" w:cs="仿宋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35" w:type="dxa"/>
            <w:noWrap w:val="0"/>
            <w:vAlign w:val="center"/>
          </w:tcPr>
          <w:p w14:paraId="5DEA28DA">
            <w:pPr>
              <w:jc w:val="center"/>
              <w:rPr>
                <w:rFonts w:hint="default" w:ascii="仿宋" w:hAnsi="仿宋" w:eastAsia="仿宋" w:cs="仿宋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18" w:type="dxa"/>
            <w:noWrap w:val="0"/>
            <w:vAlign w:val="center"/>
          </w:tcPr>
          <w:p w14:paraId="57865B06">
            <w:pPr>
              <w:jc w:val="center"/>
              <w:rPr>
                <w:rFonts w:hint="default" w:ascii="仿宋" w:hAnsi="仿宋" w:eastAsia="仿宋" w:cs="仿宋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29" w:type="dxa"/>
            <w:noWrap w:val="0"/>
            <w:vAlign w:val="center"/>
          </w:tcPr>
          <w:p w14:paraId="1353CCAA">
            <w:pPr>
              <w:jc w:val="center"/>
              <w:rPr>
                <w:rFonts w:hint="default" w:ascii="仿宋" w:hAnsi="仿宋" w:eastAsia="仿宋" w:cs="仿宋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35" w:type="dxa"/>
            <w:noWrap w:val="0"/>
            <w:vAlign w:val="center"/>
          </w:tcPr>
          <w:p w14:paraId="2FBCCB1F">
            <w:pPr>
              <w:jc w:val="center"/>
              <w:rPr>
                <w:rFonts w:hint="default" w:ascii="仿宋" w:hAnsi="仿宋" w:eastAsia="仿宋" w:cs="仿宋"/>
                <w:b w:val="0"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25994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  <w:jc w:val="center"/>
        </w:trPr>
        <w:tc>
          <w:tcPr>
            <w:tcW w:w="782" w:type="dxa"/>
            <w:noWrap w:val="0"/>
            <w:vAlign w:val="center"/>
          </w:tcPr>
          <w:p w14:paraId="752B24DA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034F6D89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6BA599FE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935" w:type="dxa"/>
            <w:noWrap w:val="0"/>
            <w:vAlign w:val="center"/>
          </w:tcPr>
          <w:p w14:paraId="6FF205ED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2118" w:type="dxa"/>
            <w:noWrap w:val="0"/>
            <w:vAlign w:val="center"/>
          </w:tcPr>
          <w:p w14:paraId="3434E53C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229" w:type="dxa"/>
            <w:noWrap w:val="0"/>
            <w:vAlign w:val="center"/>
          </w:tcPr>
          <w:p w14:paraId="790D881B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135" w:type="dxa"/>
            <w:noWrap w:val="0"/>
            <w:vAlign w:val="center"/>
          </w:tcPr>
          <w:p w14:paraId="4D71303E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/>
                <w:sz w:val="24"/>
                <w:szCs w:val="24"/>
                <w:vertAlign w:val="baseline"/>
              </w:rPr>
            </w:pPr>
          </w:p>
        </w:tc>
      </w:tr>
    </w:tbl>
    <w:p w14:paraId="21B229C2">
      <w:p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  <w:sectPr>
          <w:headerReference r:id="rId3" w:type="default"/>
          <w:pgSz w:w="11906" w:h="16838"/>
          <w:pgMar w:top="1440" w:right="1800" w:bottom="1440" w:left="1800" w:header="1134" w:footer="992" w:gutter="0"/>
          <w:cols w:space="425" w:num="1"/>
          <w:docGrid w:type="lines" w:linePitch="312" w:charSpace="0"/>
        </w:sectPr>
      </w:pPr>
    </w:p>
    <w:p w14:paraId="74D1D19C">
      <w:pPr>
        <w:pStyle w:val="12"/>
        <w:rPr>
          <w:rFonts w:hint="eastAsia"/>
          <w:lang w:val="en-US" w:eastAsia="zh-CN"/>
        </w:rPr>
      </w:pPr>
    </w:p>
    <w:sdt>
      <w:sdtPr>
        <w:rPr>
          <w:rFonts w:ascii="宋体" w:hAnsi="宋体" w:eastAsia="宋体" w:cstheme="minorBidi"/>
          <w:kern w:val="2"/>
          <w:sz w:val="21"/>
          <w:szCs w:val="24"/>
          <w:lang w:val="en-US" w:eastAsia="zh-CN" w:bidi="ar-SA"/>
        </w:rPr>
        <w:id w:val="147479422"/>
        <w15:color w:val="DBDBDB"/>
        <w:docPartObj>
          <w:docPartGallery w:val="Table of Contents"/>
          <w:docPartUnique/>
        </w:docPartObj>
      </w:sdtPr>
      <w:sdtEndPr>
        <w:rPr>
          <w:rFonts w:ascii="宋体" w:hAnsi="宋体" w:eastAsia="宋体" w:cstheme="minorBidi"/>
          <w:kern w:val="2"/>
          <w:sz w:val="21"/>
          <w:szCs w:val="24"/>
          <w:lang w:val="en-US" w:eastAsia="zh-CN" w:bidi="ar-SA"/>
        </w:rPr>
      </w:sdtEndPr>
      <w:sdtContent>
        <w:p w14:paraId="1F3F4BA4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</w:pPr>
          <w:r>
            <w:rPr>
              <w:rFonts w:ascii="宋体" w:hAnsi="宋体" w:eastAsia="宋体"/>
              <w:sz w:val="32"/>
              <w:szCs w:val="40"/>
            </w:rPr>
            <w:t>目录</w:t>
          </w:r>
        </w:p>
        <w:p w14:paraId="37B8E642">
          <w:pPr>
            <w:pStyle w:val="16"/>
            <w:tabs>
              <w:tab w:val="right" w:leader="dot" w:pos="8306"/>
            </w:tabs>
          </w:pPr>
          <w:r>
            <w:fldChar w:fldCharType="begin"/>
          </w:r>
          <w:r>
            <w:instrText xml:space="preserve">TOC \o "1-3" \h \u </w:instrText>
          </w:r>
          <w:r>
            <w:fldChar w:fldCharType="separate"/>
          </w:r>
          <w:r>
            <w:fldChar w:fldCharType="begin"/>
          </w:r>
          <w:r>
            <w:instrText xml:space="preserve"> HYPERLINK \l _Toc30837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第一章 手册概述</w:t>
          </w:r>
          <w:r>
            <w:tab/>
          </w:r>
          <w:r>
            <w:fldChar w:fldCharType="begin"/>
          </w:r>
          <w:r>
            <w:instrText xml:space="preserve"> PAGEREF _Toc30837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fldChar w:fldCharType="end"/>
          </w:r>
        </w:p>
        <w:p w14:paraId="61F1BD82">
          <w:pPr>
            <w:pStyle w:val="17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_Toc10113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1.1. 汇采商城简介</w:t>
          </w:r>
          <w:r>
            <w:tab/>
          </w:r>
          <w:r>
            <w:fldChar w:fldCharType="begin"/>
          </w:r>
          <w:r>
            <w:instrText xml:space="preserve"> PAGEREF _Toc10113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fldChar w:fldCharType="end"/>
          </w:r>
        </w:p>
        <w:p w14:paraId="0DE828A0">
          <w:pPr>
            <w:pStyle w:val="17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_Toc21397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1.2. 手册使用说明</w:t>
          </w:r>
          <w:r>
            <w:tab/>
          </w:r>
          <w:r>
            <w:fldChar w:fldCharType="begin"/>
          </w:r>
          <w:r>
            <w:instrText xml:space="preserve"> PAGEREF _Toc21397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fldChar w:fldCharType="end"/>
          </w:r>
        </w:p>
        <w:p w14:paraId="2D7C6BB5">
          <w:pPr>
            <w:pStyle w:val="17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_Toc22309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1.3. 系统运行环境</w:t>
          </w:r>
          <w:r>
            <w:tab/>
          </w:r>
          <w:r>
            <w:fldChar w:fldCharType="begin"/>
          </w:r>
          <w:r>
            <w:instrText xml:space="preserve"> PAGEREF _Toc22309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fldChar w:fldCharType="end"/>
          </w:r>
        </w:p>
        <w:p w14:paraId="1B77C598">
          <w:pPr>
            <w:pStyle w:val="17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_Toc23227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 xml:space="preserve">1.4. </w:t>
          </w:r>
          <w:r>
            <w:rPr>
              <w:rFonts w:hint="default"/>
              <w:lang w:val="en-US" w:eastAsia="zh-CN"/>
            </w:rPr>
            <w:t>供应商角色与权限</w:t>
          </w:r>
          <w:r>
            <w:tab/>
          </w:r>
          <w:r>
            <w:fldChar w:fldCharType="begin"/>
          </w:r>
          <w:r>
            <w:instrText xml:space="preserve"> PAGEREF _Toc23227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fldChar w:fldCharType="end"/>
          </w:r>
        </w:p>
        <w:p w14:paraId="54E8E61D">
          <w:pPr>
            <w:pStyle w:val="16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_Toc29718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第二章 核心业务流程</w:t>
          </w:r>
          <w:r>
            <w:tab/>
          </w:r>
          <w:r>
            <w:fldChar w:fldCharType="begin"/>
          </w:r>
          <w:r>
            <w:instrText xml:space="preserve"> PAGEREF _Toc29718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fldChar w:fldCharType="end"/>
          </w:r>
        </w:p>
        <w:p w14:paraId="66CC3DA5">
          <w:pPr>
            <w:pStyle w:val="17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_Toc3811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2.1. 实名认证</w:t>
          </w:r>
          <w:r>
            <w:tab/>
          </w:r>
          <w:r>
            <w:fldChar w:fldCharType="begin"/>
          </w:r>
          <w:r>
            <w:instrText xml:space="preserve"> PAGEREF _Toc3811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fldChar w:fldCharType="end"/>
          </w:r>
        </w:p>
        <w:p w14:paraId="13287E3D">
          <w:pPr>
            <w:pStyle w:val="17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_Toc20558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 xml:space="preserve">2.2. </w:t>
          </w:r>
          <w:r>
            <w:rPr>
              <w:rFonts w:hint="eastAsia" w:cstheme="minorBidi"/>
              <w:kern w:val="2"/>
              <w:szCs w:val="24"/>
              <w:lang w:val="en-US" w:eastAsia="zh-CN" w:bidi="ar-SA"/>
            </w:rPr>
            <w:t>框架合同签署</w:t>
          </w:r>
          <w:r>
            <w:tab/>
          </w:r>
          <w:r>
            <w:fldChar w:fldCharType="begin"/>
          </w:r>
          <w:r>
            <w:instrText xml:space="preserve"> PAGEREF _Toc20558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 w14:paraId="15A04B7F">
          <w:pPr>
            <w:pStyle w:val="17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_Toc17220 </w:instrText>
          </w:r>
          <w:r>
            <w:fldChar w:fldCharType="separate"/>
          </w:r>
          <w:r>
            <w:rPr>
              <w:rFonts w:hint="eastAsia" w:ascii="Arial" w:hAnsi="Arial" w:eastAsia="黑体" w:cstheme="minorBidi"/>
              <w:kern w:val="2"/>
              <w:szCs w:val="24"/>
              <w:lang w:val="en-US" w:eastAsia="zh-CN" w:bidi="ar-SA"/>
            </w:rPr>
            <w:t xml:space="preserve">2.3. </w:t>
          </w:r>
          <w:r>
            <w:rPr>
              <w:rFonts w:hint="eastAsia" w:cstheme="minorBidi"/>
              <w:kern w:val="2"/>
              <w:szCs w:val="24"/>
              <w:lang w:val="en-US" w:eastAsia="zh-CN" w:bidi="ar-SA"/>
            </w:rPr>
            <w:t>商品维护上架</w:t>
          </w:r>
          <w:r>
            <w:tab/>
          </w:r>
          <w:r>
            <w:fldChar w:fldCharType="begin"/>
          </w:r>
          <w:r>
            <w:instrText xml:space="preserve"> PAGEREF _Toc17220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 w14:paraId="75882A63">
          <w:pPr>
            <w:pStyle w:val="17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_Toc16048 </w:instrText>
          </w:r>
          <w:r>
            <w:fldChar w:fldCharType="separate"/>
          </w:r>
          <w:r>
            <w:rPr>
              <w:rFonts w:hint="eastAsia" w:ascii="Arial" w:hAnsi="Arial" w:eastAsia="黑体" w:cstheme="minorBidi"/>
              <w:kern w:val="2"/>
              <w:szCs w:val="24"/>
              <w:lang w:val="en-US" w:eastAsia="zh-CN" w:bidi="ar-SA"/>
            </w:rPr>
            <w:t xml:space="preserve">2.4. </w:t>
          </w:r>
          <w:r>
            <w:rPr>
              <w:rFonts w:hint="eastAsia" w:cstheme="minorBidi"/>
              <w:kern w:val="2"/>
              <w:szCs w:val="24"/>
              <w:lang w:val="en-US" w:eastAsia="zh-CN" w:bidi="ar-SA"/>
            </w:rPr>
            <w:t>订单商品发货</w:t>
          </w:r>
          <w:r>
            <w:tab/>
          </w:r>
          <w:r>
            <w:fldChar w:fldCharType="begin"/>
          </w:r>
          <w:r>
            <w:instrText xml:space="preserve"> PAGEREF _Toc16048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 w14:paraId="01B9DCB5">
          <w:pPr>
            <w:pStyle w:val="17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_Toc8624 </w:instrText>
          </w:r>
          <w:r>
            <w:fldChar w:fldCharType="separate"/>
          </w:r>
          <w:r>
            <w:rPr>
              <w:rFonts w:hint="eastAsia" w:ascii="Arial" w:hAnsi="Arial" w:eastAsia="黑体" w:cstheme="minorBidi"/>
              <w:kern w:val="2"/>
              <w:szCs w:val="24"/>
              <w:lang w:val="en-US" w:eastAsia="zh-CN" w:bidi="ar-SA"/>
            </w:rPr>
            <w:t xml:space="preserve">2.5. </w:t>
          </w:r>
          <w:r>
            <w:rPr>
              <w:rFonts w:hint="eastAsia" w:cstheme="minorBidi"/>
              <w:kern w:val="2"/>
              <w:szCs w:val="24"/>
              <w:lang w:val="en-US" w:eastAsia="zh-CN" w:bidi="ar-SA"/>
            </w:rPr>
            <w:t>订单月度结算</w:t>
          </w:r>
          <w:r>
            <w:tab/>
          </w:r>
          <w:r>
            <w:fldChar w:fldCharType="begin"/>
          </w:r>
          <w:r>
            <w:instrText xml:space="preserve"> PAGEREF _Toc8624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fldChar w:fldCharType="end"/>
          </w:r>
        </w:p>
        <w:p w14:paraId="145CD25B">
          <w:pPr>
            <w:pStyle w:val="17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_Toc16981 </w:instrText>
          </w:r>
          <w:r>
            <w:fldChar w:fldCharType="separate"/>
          </w:r>
          <w:r>
            <w:rPr>
              <w:rFonts w:hint="eastAsia" w:ascii="Arial" w:hAnsi="Arial" w:eastAsia="黑体" w:cstheme="minorBidi"/>
              <w:kern w:val="2"/>
              <w:szCs w:val="24"/>
              <w:lang w:val="en-US" w:eastAsia="zh-CN" w:bidi="ar-SA"/>
            </w:rPr>
            <w:t xml:space="preserve">2.6. </w:t>
          </w:r>
          <w:r>
            <w:rPr>
              <w:rFonts w:hint="eastAsia" w:cstheme="minorBidi"/>
              <w:kern w:val="2"/>
              <w:szCs w:val="24"/>
              <w:lang w:val="en-US" w:eastAsia="zh-CN" w:bidi="ar-SA"/>
            </w:rPr>
            <w:t>订单结转再交易</w:t>
          </w:r>
          <w:r>
            <w:tab/>
          </w:r>
          <w:r>
            <w:fldChar w:fldCharType="begin"/>
          </w:r>
          <w:r>
            <w:instrText xml:space="preserve"> PAGEREF _Toc16981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fldChar w:fldCharType="end"/>
          </w:r>
        </w:p>
        <w:p w14:paraId="736950F4">
          <w:pPr>
            <w:pStyle w:val="16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_Toc26406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第三章 系统登录</w:t>
          </w:r>
          <w:r>
            <w:tab/>
          </w:r>
          <w:r>
            <w:fldChar w:fldCharType="begin"/>
          </w:r>
          <w:r>
            <w:instrText xml:space="preserve"> PAGEREF _Toc26406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fldChar w:fldCharType="end"/>
          </w:r>
        </w:p>
        <w:p w14:paraId="26612F18">
          <w:pPr>
            <w:pStyle w:val="17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_Toc31075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3.1. 登录系统</w:t>
          </w:r>
          <w:r>
            <w:tab/>
          </w:r>
          <w:r>
            <w:fldChar w:fldCharType="begin"/>
          </w:r>
          <w:r>
            <w:instrText xml:space="preserve"> PAGEREF _Toc31075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fldChar w:fldCharType="end"/>
          </w:r>
        </w:p>
        <w:p w14:paraId="54BAED5D">
          <w:pPr>
            <w:pStyle w:val="17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_Toc16847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3.2. 系统首页</w:t>
          </w:r>
          <w:r>
            <w:tab/>
          </w:r>
          <w:r>
            <w:fldChar w:fldCharType="begin"/>
          </w:r>
          <w:r>
            <w:instrText xml:space="preserve"> PAGEREF _Toc16847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fldChar w:fldCharType="end"/>
          </w:r>
        </w:p>
        <w:p w14:paraId="35477270">
          <w:pPr>
            <w:pStyle w:val="16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_Toc10126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第四章 合同管理</w:t>
          </w:r>
          <w:r>
            <w:tab/>
          </w:r>
          <w:r>
            <w:fldChar w:fldCharType="begin"/>
          </w:r>
          <w:r>
            <w:instrText xml:space="preserve"> PAGEREF _Toc10126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fldChar w:fldCharType="end"/>
          </w:r>
        </w:p>
        <w:p w14:paraId="7C5EE28C">
          <w:pPr>
            <w:pStyle w:val="17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_Toc17402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4.1. 合同信息查看</w:t>
          </w:r>
          <w:r>
            <w:tab/>
          </w:r>
          <w:r>
            <w:fldChar w:fldCharType="begin"/>
          </w:r>
          <w:r>
            <w:instrText xml:space="preserve"> PAGEREF _Toc17402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fldChar w:fldCharType="end"/>
          </w:r>
        </w:p>
        <w:p w14:paraId="47C3905D">
          <w:pPr>
            <w:pStyle w:val="17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_Toc9648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4.2. 合同签署</w:t>
          </w:r>
          <w:r>
            <w:tab/>
          </w:r>
          <w:r>
            <w:fldChar w:fldCharType="begin"/>
          </w:r>
          <w:r>
            <w:instrText xml:space="preserve"> PAGEREF _Toc9648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fldChar w:fldCharType="end"/>
          </w:r>
        </w:p>
        <w:p w14:paraId="3596BB54">
          <w:pPr>
            <w:pStyle w:val="16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_Toc15310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第五章 商品管理</w:t>
          </w:r>
          <w:r>
            <w:tab/>
          </w:r>
          <w:r>
            <w:fldChar w:fldCharType="begin"/>
          </w:r>
          <w:r>
            <w:instrText xml:space="preserve"> PAGEREF _Toc15310 \h </w:instrText>
          </w:r>
          <w:r>
            <w:fldChar w:fldCharType="separate"/>
          </w:r>
          <w:r>
            <w:t>11</w:t>
          </w:r>
          <w:r>
            <w:fldChar w:fldCharType="end"/>
          </w:r>
          <w:r>
            <w:fldChar w:fldCharType="end"/>
          </w:r>
        </w:p>
        <w:p w14:paraId="6A8F1DD6">
          <w:pPr>
            <w:pStyle w:val="17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_Toc26400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 xml:space="preserve">5.1. </w:t>
          </w:r>
          <w:r>
            <w:rPr>
              <w:rFonts w:hint="default"/>
              <w:lang w:val="en-US" w:eastAsia="zh-CN"/>
            </w:rPr>
            <w:t>商品</w:t>
          </w:r>
          <w:r>
            <w:rPr>
              <w:rFonts w:hint="eastAsia"/>
              <w:lang w:val="en-US" w:eastAsia="zh-CN"/>
            </w:rPr>
            <w:t>信息</w:t>
          </w:r>
          <w:r>
            <w:rPr>
              <w:rFonts w:hint="default"/>
              <w:lang w:val="en-US" w:eastAsia="zh-CN"/>
            </w:rPr>
            <w:t>查看</w:t>
          </w:r>
          <w:r>
            <w:tab/>
          </w:r>
          <w:r>
            <w:fldChar w:fldCharType="begin"/>
          </w:r>
          <w:r>
            <w:instrText xml:space="preserve"> PAGEREF _Toc26400 \h </w:instrText>
          </w:r>
          <w:r>
            <w:fldChar w:fldCharType="separate"/>
          </w:r>
          <w:r>
            <w:t>11</w:t>
          </w:r>
          <w:r>
            <w:fldChar w:fldCharType="end"/>
          </w:r>
          <w:r>
            <w:fldChar w:fldCharType="end"/>
          </w:r>
        </w:p>
        <w:p w14:paraId="3D047CF0">
          <w:pPr>
            <w:pStyle w:val="17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_Toc32213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 xml:space="preserve">5.2. </w:t>
          </w:r>
          <w:r>
            <w:rPr>
              <w:rFonts w:hint="default"/>
              <w:lang w:val="en-US" w:eastAsia="zh-CN"/>
            </w:rPr>
            <w:t>商品</w:t>
          </w:r>
          <w:r>
            <w:rPr>
              <w:rFonts w:hint="eastAsia"/>
              <w:lang w:val="en-US" w:eastAsia="zh-CN"/>
            </w:rPr>
            <w:t>信息完善</w:t>
          </w:r>
          <w:r>
            <w:tab/>
          </w:r>
          <w:r>
            <w:fldChar w:fldCharType="begin"/>
          </w:r>
          <w:r>
            <w:instrText xml:space="preserve"> PAGEREF _Toc32213 \h </w:instrText>
          </w:r>
          <w:r>
            <w:fldChar w:fldCharType="separate"/>
          </w:r>
          <w:r>
            <w:t>11</w:t>
          </w:r>
          <w:r>
            <w:fldChar w:fldCharType="end"/>
          </w:r>
          <w:r>
            <w:fldChar w:fldCharType="end"/>
          </w:r>
        </w:p>
        <w:p w14:paraId="647CA573">
          <w:pPr>
            <w:pStyle w:val="17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_Toc2729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 xml:space="preserve">5.3. </w:t>
          </w:r>
          <w:r>
            <w:rPr>
              <w:rFonts w:hint="default"/>
              <w:lang w:val="en-US" w:eastAsia="zh-CN"/>
            </w:rPr>
            <w:t>商品上架与使用</w:t>
          </w:r>
          <w:r>
            <w:tab/>
          </w:r>
          <w:r>
            <w:fldChar w:fldCharType="begin"/>
          </w:r>
          <w:r>
            <w:instrText xml:space="preserve"> PAGEREF _Toc2729 \h </w:instrText>
          </w:r>
          <w:r>
            <w:fldChar w:fldCharType="separate"/>
          </w:r>
          <w:r>
            <w:t>12</w:t>
          </w:r>
          <w:r>
            <w:fldChar w:fldCharType="end"/>
          </w:r>
          <w:r>
            <w:fldChar w:fldCharType="end"/>
          </w:r>
        </w:p>
        <w:p w14:paraId="41E98544">
          <w:pPr>
            <w:pStyle w:val="16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_Toc24710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第六章 订单管理</w:t>
          </w:r>
          <w:r>
            <w:tab/>
          </w:r>
          <w:r>
            <w:fldChar w:fldCharType="begin"/>
          </w:r>
          <w:r>
            <w:instrText xml:space="preserve"> PAGEREF _Toc24710 \h </w:instrText>
          </w:r>
          <w:r>
            <w:fldChar w:fldCharType="separate"/>
          </w:r>
          <w:r>
            <w:t>12</w:t>
          </w:r>
          <w:r>
            <w:fldChar w:fldCharType="end"/>
          </w:r>
          <w:r>
            <w:fldChar w:fldCharType="end"/>
          </w:r>
        </w:p>
        <w:p w14:paraId="1D480C75">
          <w:pPr>
            <w:pStyle w:val="17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_Toc23633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6.1. 订单信息查看</w:t>
          </w:r>
          <w:r>
            <w:tab/>
          </w:r>
          <w:r>
            <w:fldChar w:fldCharType="begin"/>
          </w:r>
          <w:r>
            <w:instrText xml:space="preserve"> PAGEREF _Toc23633 \h </w:instrText>
          </w:r>
          <w:r>
            <w:fldChar w:fldCharType="separate"/>
          </w:r>
          <w:r>
            <w:t>12</w:t>
          </w:r>
          <w:r>
            <w:fldChar w:fldCharType="end"/>
          </w:r>
          <w:r>
            <w:fldChar w:fldCharType="end"/>
          </w:r>
        </w:p>
        <w:p w14:paraId="08FE2142">
          <w:pPr>
            <w:pStyle w:val="17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_Toc22906 </w:instrText>
          </w:r>
          <w:r>
            <w:fldChar w:fldCharType="separate"/>
          </w:r>
          <w:r>
            <w:rPr>
              <w:rFonts w:hint="eastAsia" w:ascii="Arial" w:hAnsi="Arial" w:eastAsia="黑体" w:cstheme="minorBidi"/>
              <w:kern w:val="2"/>
              <w:szCs w:val="24"/>
              <w:lang w:val="en-US" w:eastAsia="zh-CN" w:bidi="ar-SA"/>
            </w:rPr>
            <w:t xml:space="preserve">6.2. </w:t>
          </w:r>
          <w:r>
            <w:rPr>
              <w:rFonts w:hint="eastAsia" w:cstheme="minorBidi"/>
              <w:kern w:val="2"/>
              <w:szCs w:val="24"/>
              <w:lang w:val="en-US" w:eastAsia="zh-CN" w:bidi="ar-SA"/>
            </w:rPr>
            <w:t>订单商品发货</w:t>
          </w:r>
          <w:r>
            <w:tab/>
          </w:r>
          <w:r>
            <w:fldChar w:fldCharType="begin"/>
          </w:r>
          <w:r>
            <w:instrText xml:space="preserve"> PAGEREF _Toc22906 \h </w:instrText>
          </w:r>
          <w:r>
            <w:fldChar w:fldCharType="separate"/>
          </w:r>
          <w:r>
            <w:t>13</w:t>
          </w:r>
          <w:r>
            <w:fldChar w:fldCharType="end"/>
          </w:r>
          <w:r>
            <w:fldChar w:fldCharType="end"/>
          </w:r>
        </w:p>
        <w:p w14:paraId="73CC33DA">
          <w:pPr>
            <w:pStyle w:val="17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_Toc5717 </w:instrText>
          </w:r>
          <w:r>
            <w:fldChar w:fldCharType="separate"/>
          </w:r>
          <w:r>
            <w:rPr>
              <w:rFonts w:hint="eastAsia" w:ascii="Arial" w:hAnsi="Arial" w:eastAsia="黑体" w:cstheme="minorBidi"/>
              <w:kern w:val="2"/>
              <w:szCs w:val="24"/>
              <w:lang w:val="en-US" w:eastAsia="zh-CN" w:bidi="ar-SA"/>
            </w:rPr>
            <w:t xml:space="preserve">6.3. </w:t>
          </w:r>
          <w:r>
            <w:rPr>
              <w:rFonts w:hint="eastAsia" w:cstheme="minorBidi"/>
              <w:kern w:val="2"/>
              <w:szCs w:val="24"/>
              <w:lang w:val="en-US" w:eastAsia="zh-CN" w:bidi="ar-SA"/>
            </w:rPr>
            <w:t>订单月度结算</w:t>
          </w:r>
          <w:r>
            <w:tab/>
          </w:r>
          <w:r>
            <w:fldChar w:fldCharType="begin"/>
          </w:r>
          <w:r>
            <w:instrText xml:space="preserve"> PAGEREF _Toc5717 \h </w:instrText>
          </w:r>
          <w:r>
            <w:fldChar w:fldCharType="separate"/>
          </w:r>
          <w:r>
            <w:t>14</w:t>
          </w:r>
          <w:r>
            <w:fldChar w:fldCharType="end"/>
          </w:r>
          <w:r>
            <w:fldChar w:fldCharType="end"/>
          </w:r>
        </w:p>
        <w:p w14:paraId="648C3DA7">
          <w:pPr>
            <w:pStyle w:val="13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_Toc28912 </w:instrText>
          </w:r>
          <w:r>
            <w:fldChar w:fldCharType="separate"/>
          </w:r>
          <w:r>
            <w:rPr>
              <w:rFonts w:hint="eastAsia"/>
            </w:rPr>
            <w:t xml:space="preserve">6.3.1. </w:t>
          </w:r>
          <w:r>
            <w:rPr>
              <w:rFonts w:hint="eastAsia"/>
              <w:lang w:val="en-US" w:eastAsia="zh-CN"/>
            </w:rPr>
            <w:t>结算合同签署</w:t>
          </w:r>
          <w:r>
            <w:tab/>
          </w:r>
          <w:r>
            <w:fldChar w:fldCharType="begin"/>
          </w:r>
          <w:r>
            <w:instrText xml:space="preserve"> PAGEREF _Toc28912 \h </w:instrText>
          </w:r>
          <w:r>
            <w:fldChar w:fldCharType="separate"/>
          </w:r>
          <w:r>
            <w:t>14</w:t>
          </w:r>
          <w:r>
            <w:fldChar w:fldCharType="end"/>
          </w:r>
          <w:r>
            <w:fldChar w:fldCharType="end"/>
          </w:r>
        </w:p>
        <w:p w14:paraId="01E71D55">
          <w:pPr>
            <w:pStyle w:val="13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_Toc25348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6.3.2. 开具发票与缴纳交易服务费</w:t>
          </w:r>
          <w:r>
            <w:tab/>
          </w:r>
          <w:r>
            <w:fldChar w:fldCharType="begin"/>
          </w:r>
          <w:r>
            <w:instrText xml:space="preserve"> PAGEREF _Toc25348 \h </w:instrText>
          </w:r>
          <w:r>
            <w:fldChar w:fldCharType="separate"/>
          </w:r>
          <w:r>
            <w:t>14</w:t>
          </w:r>
          <w:r>
            <w:fldChar w:fldCharType="end"/>
          </w:r>
          <w:r>
            <w:fldChar w:fldCharType="end"/>
          </w:r>
        </w:p>
        <w:p w14:paraId="425DBD0E">
          <w:pPr>
            <w:pStyle w:val="13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_Toc9933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6.3.3. 货款结算</w:t>
          </w:r>
          <w:r>
            <w:tab/>
          </w:r>
          <w:r>
            <w:fldChar w:fldCharType="begin"/>
          </w:r>
          <w:r>
            <w:instrText xml:space="preserve"> PAGEREF _Toc9933 \h </w:instrText>
          </w:r>
          <w:r>
            <w:fldChar w:fldCharType="separate"/>
          </w:r>
          <w:r>
            <w:t>16</w:t>
          </w:r>
          <w:r>
            <w:fldChar w:fldCharType="end"/>
          </w:r>
          <w:r>
            <w:fldChar w:fldCharType="end"/>
          </w:r>
        </w:p>
        <w:p w14:paraId="3E9787BC">
          <w:pPr>
            <w:pStyle w:val="13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_Toc28246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6.3.4. 质保金结算</w:t>
          </w:r>
          <w:r>
            <w:tab/>
          </w:r>
          <w:r>
            <w:fldChar w:fldCharType="begin"/>
          </w:r>
          <w:r>
            <w:instrText xml:space="preserve"> PAGEREF _Toc28246 \h </w:instrText>
          </w:r>
          <w:r>
            <w:fldChar w:fldCharType="separate"/>
          </w:r>
          <w:r>
            <w:t>16</w:t>
          </w:r>
          <w:r>
            <w:fldChar w:fldCharType="end"/>
          </w:r>
          <w:r>
            <w:fldChar w:fldCharType="end"/>
          </w:r>
        </w:p>
        <w:p w14:paraId="25658CCA">
          <w:pPr>
            <w:pStyle w:val="17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_Toc31803 </w:instrText>
          </w:r>
          <w:r>
            <w:fldChar w:fldCharType="separate"/>
          </w:r>
          <w:r>
            <w:rPr>
              <w:rFonts w:hint="eastAsia" w:ascii="Arial" w:hAnsi="Arial" w:eastAsia="黑体" w:cstheme="minorBidi"/>
              <w:kern w:val="2"/>
              <w:szCs w:val="24"/>
              <w:lang w:val="en-US" w:eastAsia="zh-CN" w:bidi="ar-SA"/>
            </w:rPr>
            <w:t xml:space="preserve">6.4. </w:t>
          </w:r>
          <w:r>
            <w:rPr>
              <w:rFonts w:hint="eastAsia" w:cstheme="minorBidi"/>
              <w:kern w:val="2"/>
              <w:szCs w:val="24"/>
              <w:lang w:val="en-US" w:eastAsia="zh-CN" w:bidi="ar-SA"/>
            </w:rPr>
            <w:t>订单跟踪</w:t>
          </w:r>
          <w:r>
            <w:tab/>
          </w:r>
          <w:r>
            <w:fldChar w:fldCharType="begin"/>
          </w:r>
          <w:r>
            <w:instrText xml:space="preserve"> PAGEREF _Toc31803 \h </w:instrText>
          </w:r>
          <w:r>
            <w:fldChar w:fldCharType="separate"/>
          </w:r>
          <w:r>
            <w:t>16</w:t>
          </w:r>
          <w:r>
            <w:fldChar w:fldCharType="end"/>
          </w:r>
          <w:r>
            <w:fldChar w:fldCharType="end"/>
          </w:r>
        </w:p>
        <w:p w14:paraId="04C80983">
          <w:pPr>
            <w:pStyle w:val="16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_Toc3455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第七章 账户设置</w:t>
          </w:r>
          <w:r>
            <w:tab/>
          </w:r>
          <w:r>
            <w:fldChar w:fldCharType="begin"/>
          </w:r>
          <w:r>
            <w:instrText xml:space="preserve"> PAGEREF _Toc3455 \h </w:instrText>
          </w:r>
          <w:r>
            <w:fldChar w:fldCharType="separate"/>
          </w:r>
          <w:r>
            <w:t>16</w:t>
          </w:r>
          <w:r>
            <w:fldChar w:fldCharType="end"/>
          </w:r>
          <w:r>
            <w:fldChar w:fldCharType="end"/>
          </w:r>
        </w:p>
        <w:p w14:paraId="77E1FFDE">
          <w:pPr>
            <w:pStyle w:val="17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_Toc12171 </w:instrText>
          </w:r>
          <w:r>
            <w:fldChar w:fldCharType="separate"/>
          </w:r>
          <w:r>
            <w:rPr>
              <w:rFonts w:hint="eastAsia"/>
            </w:rPr>
            <w:t xml:space="preserve">7.1. </w:t>
          </w:r>
          <w:r>
            <w:rPr>
              <w:rFonts w:hint="eastAsia"/>
              <w:lang w:val="en-US" w:eastAsia="zh-CN"/>
            </w:rPr>
            <w:t>企业信息</w:t>
          </w:r>
          <w:r>
            <w:tab/>
          </w:r>
          <w:r>
            <w:fldChar w:fldCharType="begin"/>
          </w:r>
          <w:r>
            <w:instrText xml:space="preserve"> PAGEREF _Toc12171 \h </w:instrText>
          </w:r>
          <w:r>
            <w:fldChar w:fldCharType="separate"/>
          </w:r>
          <w:r>
            <w:t>16</w:t>
          </w:r>
          <w:r>
            <w:fldChar w:fldCharType="end"/>
          </w:r>
          <w:r>
            <w:fldChar w:fldCharType="end"/>
          </w:r>
        </w:p>
        <w:p w14:paraId="2B52757D">
          <w:pPr>
            <w:pStyle w:val="13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_Toc29641 </w:instrText>
          </w:r>
          <w:r>
            <w:fldChar w:fldCharType="separate"/>
          </w:r>
          <w:r>
            <w:rPr>
              <w:rFonts w:hint="eastAsia"/>
            </w:rPr>
            <w:t xml:space="preserve">7.1.1. </w:t>
          </w:r>
          <w:r>
            <w:rPr>
              <w:rFonts w:hint="eastAsia"/>
              <w:lang w:val="en-US" w:eastAsia="zh-CN"/>
            </w:rPr>
            <w:t>企业信息查看</w:t>
          </w:r>
          <w:r>
            <w:tab/>
          </w:r>
          <w:r>
            <w:fldChar w:fldCharType="begin"/>
          </w:r>
          <w:r>
            <w:instrText xml:space="preserve"> PAGEREF _Toc29641 \h </w:instrText>
          </w:r>
          <w:r>
            <w:fldChar w:fldCharType="separate"/>
          </w:r>
          <w:r>
            <w:t>17</w:t>
          </w:r>
          <w:r>
            <w:fldChar w:fldCharType="end"/>
          </w:r>
          <w:r>
            <w:fldChar w:fldCharType="end"/>
          </w:r>
        </w:p>
        <w:p w14:paraId="51BA8639">
          <w:pPr>
            <w:pStyle w:val="13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_Toc25627 </w:instrText>
          </w:r>
          <w:r>
            <w:fldChar w:fldCharType="separate"/>
          </w:r>
          <w:r>
            <w:rPr>
              <w:rFonts w:hint="eastAsia" w:asciiTheme="minorAscii" w:hAnsiTheme="minorAscii" w:eastAsiaTheme="minorEastAsia" w:cstheme="minorBidi"/>
              <w:kern w:val="2"/>
              <w:szCs w:val="24"/>
              <w:lang w:val="en-US" w:eastAsia="zh-CN" w:bidi="ar-SA"/>
            </w:rPr>
            <w:t xml:space="preserve">7.1.2. </w:t>
          </w:r>
          <w:r>
            <w:rPr>
              <w:rFonts w:hint="eastAsia" w:cstheme="minorBidi"/>
              <w:kern w:val="2"/>
              <w:szCs w:val="24"/>
              <w:lang w:val="en-US" w:eastAsia="zh-CN" w:bidi="ar-SA"/>
            </w:rPr>
            <w:t>企业信息编辑</w:t>
          </w:r>
          <w:r>
            <w:tab/>
          </w:r>
          <w:r>
            <w:fldChar w:fldCharType="begin"/>
          </w:r>
          <w:r>
            <w:instrText xml:space="preserve"> PAGEREF _Toc25627 \h </w:instrText>
          </w:r>
          <w:r>
            <w:fldChar w:fldCharType="separate"/>
          </w:r>
          <w:r>
            <w:t>17</w:t>
          </w:r>
          <w:r>
            <w:fldChar w:fldCharType="end"/>
          </w:r>
          <w:r>
            <w:fldChar w:fldCharType="end"/>
          </w:r>
        </w:p>
        <w:p w14:paraId="4C6578BB">
          <w:pPr>
            <w:pStyle w:val="17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_Toc26482 </w:instrText>
          </w:r>
          <w:r>
            <w:fldChar w:fldCharType="separate"/>
          </w:r>
          <w:r>
            <w:rPr>
              <w:rFonts w:hint="eastAsia" w:ascii="Arial" w:hAnsi="Arial" w:eastAsia="黑体" w:cstheme="minorBidi"/>
              <w:kern w:val="2"/>
              <w:szCs w:val="24"/>
              <w:lang w:val="en-US" w:eastAsia="zh-CN" w:bidi="ar-SA"/>
            </w:rPr>
            <w:t xml:space="preserve">7.2. </w:t>
          </w:r>
          <w:r>
            <w:rPr>
              <w:rFonts w:hint="eastAsia" w:cstheme="minorBidi"/>
              <w:kern w:val="2"/>
              <w:szCs w:val="24"/>
              <w:lang w:val="en-US" w:eastAsia="zh-CN" w:bidi="ar-SA"/>
            </w:rPr>
            <w:t>管理员列表</w:t>
          </w:r>
          <w:r>
            <w:tab/>
          </w:r>
          <w:r>
            <w:fldChar w:fldCharType="begin"/>
          </w:r>
          <w:r>
            <w:instrText xml:space="preserve"> PAGEREF _Toc26482 \h </w:instrText>
          </w:r>
          <w:r>
            <w:fldChar w:fldCharType="separate"/>
          </w:r>
          <w:r>
            <w:t>17</w:t>
          </w:r>
          <w:r>
            <w:fldChar w:fldCharType="end"/>
          </w:r>
          <w:r>
            <w:fldChar w:fldCharType="end"/>
          </w:r>
        </w:p>
        <w:p w14:paraId="5FD3B50E">
          <w:pPr>
            <w:pStyle w:val="13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_Toc32313 </w:instrText>
          </w:r>
          <w:r>
            <w:fldChar w:fldCharType="separate"/>
          </w:r>
          <w:r>
            <w:rPr>
              <w:rFonts w:hint="eastAsia"/>
            </w:rPr>
            <w:t xml:space="preserve">7.2.1. </w:t>
          </w:r>
          <w:r>
            <w:rPr>
              <w:rFonts w:hint="eastAsia"/>
              <w:lang w:val="en-US" w:eastAsia="zh-CN"/>
            </w:rPr>
            <w:t>管理员查看</w:t>
          </w:r>
          <w:r>
            <w:tab/>
          </w:r>
          <w:r>
            <w:fldChar w:fldCharType="begin"/>
          </w:r>
          <w:r>
            <w:instrText xml:space="preserve"> PAGEREF _Toc32313 \h </w:instrText>
          </w:r>
          <w:r>
            <w:fldChar w:fldCharType="separate"/>
          </w:r>
          <w:r>
            <w:t>17</w:t>
          </w:r>
          <w:r>
            <w:fldChar w:fldCharType="end"/>
          </w:r>
          <w:r>
            <w:fldChar w:fldCharType="end"/>
          </w:r>
        </w:p>
        <w:p w14:paraId="00C96C47">
          <w:pPr>
            <w:pStyle w:val="13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_Toc15982 </w:instrText>
          </w:r>
          <w:r>
            <w:fldChar w:fldCharType="separate"/>
          </w:r>
          <w:r>
            <w:rPr>
              <w:rFonts w:hint="eastAsia" w:asciiTheme="minorAscii" w:hAnsiTheme="minorAscii" w:eastAsiaTheme="minorEastAsia" w:cstheme="minorBidi"/>
              <w:kern w:val="2"/>
              <w:szCs w:val="24"/>
              <w:lang w:val="en-US" w:eastAsia="zh-CN" w:bidi="ar-SA"/>
            </w:rPr>
            <w:t xml:space="preserve">7.2.2. </w:t>
          </w:r>
          <w:r>
            <w:rPr>
              <w:rFonts w:hint="eastAsia" w:cstheme="minorBidi"/>
              <w:kern w:val="2"/>
              <w:szCs w:val="24"/>
              <w:lang w:val="en-US" w:eastAsia="zh-CN" w:bidi="ar-SA"/>
            </w:rPr>
            <w:t>管理员编辑与删除</w:t>
          </w:r>
          <w:r>
            <w:tab/>
          </w:r>
          <w:r>
            <w:fldChar w:fldCharType="begin"/>
          </w:r>
          <w:r>
            <w:instrText xml:space="preserve"> PAGEREF _Toc15982 \h </w:instrText>
          </w:r>
          <w:r>
            <w:fldChar w:fldCharType="separate"/>
          </w:r>
          <w:r>
            <w:t>17</w:t>
          </w:r>
          <w:r>
            <w:fldChar w:fldCharType="end"/>
          </w:r>
          <w:r>
            <w:fldChar w:fldCharType="end"/>
          </w:r>
        </w:p>
        <w:p w14:paraId="00B854BA">
          <w:pPr>
            <w:pStyle w:val="13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_Toc31587 </w:instrText>
          </w:r>
          <w:r>
            <w:fldChar w:fldCharType="separate"/>
          </w:r>
          <w:r>
            <w:rPr>
              <w:rFonts w:hint="eastAsia" w:asciiTheme="minorAscii" w:hAnsiTheme="minorAscii" w:eastAsiaTheme="minorEastAsia" w:cstheme="minorBidi"/>
              <w:kern w:val="2"/>
              <w:szCs w:val="24"/>
              <w:lang w:val="en-US" w:eastAsia="zh-CN" w:bidi="ar-SA"/>
            </w:rPr>
            <w:t xml:space="preserve">7.2.3. </w:t>
          </w:r>
          <w:r>
            <w:rPr>
              <w:rFonts w:hint="eastAsia" w:cstheme="minorBidi"/>
              <w:kern w:val="2"/>
              <w:szCs w:val="24"/>
              <w:lang w:val="en-US" w:eastAsia="zh-CN" w:bidi="ar-SA"/>
            </w:rPr>
            <w:t>管理员添加</w:t>
          </w:r>
          <w:r>
            <w:tab/>
          </w:r>
          <w:r>
            <w:fldChar w:fldCharType="begin"/>
          </w:r>
          <w:r>
            <w:instrText xml:space="preserve"> PAGEREF _Toc31587 \h </w:instrText>
          </w:r>
          <w:r>
            <w:fldChar w:fldCharType="separate"/>
          </w:r>
          <w:r>
            <w:t>18</w:t>
          </w:r>
          <w:r>
            <w:fldChar w:fldCharType="end"/>
          </w:r>
          <w:r>
            <w:fldChar w:fldCharType="end"/>
          </w:r>
        </w:p>
        <w:p w14:paraId="58B492D3">
          <w:pPr>
            <w:pStyle w:val="16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_Toc27189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第八章 资金管理</w:t>
          </w:r>
          <w:r>
            <w:tab/>
          </w:r>
          <w:r>
            <w:fldChar w:fldCharType="begin"/>
          </w:r>
          <w:r>
            <w:instrText xml:space="preserve"> PAGEREF _Toc27189 \h </w:instrText>
          </w:r>
          <w:r>
            <w:fldChar w:fldCharType="separate"/>
          </w:r>
          <w:r>
            <w:t>18</w:t>
          </w:r>
          <w:r>
            <w:fldChar w:fldCharType="end"/>
          </w:r>
          <w:r>
            <w:fldChar w:fldCharType="end"/>
          </w:r>
        </w:p>
        <w:p w14:paraId="66E7322C">
          <w:pPr>
            <w:pStyle w:val="17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_Toc4442 </w:instrText>
          </w:r>
          <w:r>
            <w:fldChar w:fldCharType="separate"/>
          </w:r>
          <w:r>
            <w:rPr>
              <w:rFonts w:hint="eastAsia"/>
            </w:rPr>
            <w:t xml:space="preserve">8.1. </w:t>
          </w:r>
          <w:r>
            <w:rPr>
              <w:rFonts w:hint="eastAsia"/>
              <w:lang w:val="en-US" w:eastAsia="zh-CN"/>
            </w:rPr>
            <w:t>账户资金查看</w:t>
          </w:r>
          <w:r>
            <w:tab/>
          </w:r>
          <w:r>
            <w:fldChar w:fldCharType="begin"/>
          </w:r>
          <w:r>
            <w:instrText xml:space="preserve"> PAGEREF _Toc4442 \h </w:instrText>
          </w:r>
          <w:r>
            <w:fldChar w:fldCharType="separate"/>
          </w:r>
          <w:r>
            <w:t>18</w:t>
          </w:r>
          <w:r>
            <w:fldChar w:fldCharType="end"/>
          </w:r>
          <w:r>
            <w:fldChar w:fldCharType="end"/>
          </w:r>
        </w:p>
        <w:p w14:paraId="167C0914">
          <w:pPr>
            <w:pStyle w:val="17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_Toc21257 </w:instrText>
          </w:r>
          <w:r>
            <w:fldChar w:fldCharType="separate"/>
          </w:r>
          <w:r>
            <w:rPr>
              <w:rFonts w:hint="eastAsia"/>
            </w:rPr>
            <w:t xml:space="preserve">8.2. </w:t>
          </w:r>
          <w:r>
            <w:rPr>
              <w:rFonts w:hint="eastAsia"/>
              <w:lang w:val="en-US" w:eastAsia="zh-CN"/>
            </w:rPr>
            <w:t>订单结转</w:t>
          </w:r>
          <w:r>
            <w:tab/>
          </w:r>
          <w:r>
            <w:fldChar w:fldCharType="begin"/>
          </w:r>
          <w:r>
            <w:instrText xml:space="preserve"> PAGEREF _Toc21257 \h </w:instrText>
          </w:r>
          <w:r>
            <w:fldChar w:fldCharType="separate"/>
          </w:r>
          <w:r>
            <w:t>19</w:t>
          </w:r>
          <w:r>
            <w:fldChar w:fldCharType="end"/>
          </w:r>
          <w:r>
            <w:fldChar w:fldCharType="end"/>
          </w:r>
        </w:p>
        <w:p w14:paraId="7004305E">
          <w:pPr>
            <w:pStyle w:val="16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_Toc29398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第九章 附则</w:t>
          </w:r>
          <w:r>
            <w:tab/>
          </w:r>
          <w:r>
            <w:fldChar w:fldCharType="begin"/>
          </w:r>
          <w:r>
            <w:instrText xml:space="preserve"> PAGEREF _Toc29398 \h </w:instrText>
          </w:r>
          <w:r>
            <w:fldChar w:fldCharType="separate"/>
          </w:r>
          <w:r>
            <w:t>19</w:t>
          </w:r>
          <w:r>
            <w:fldChar w:fldCharType="end"/>
          </w:r>
          <w:r>
            <w:fldChar w:fldCharType="end"/>
          </w:r>
        </w:p>
        <w:p w14:paraId="67330D89">
          <w:pPr>
            <w:pStyle w:val="17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_Toc1618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9.1. 术语说明</w:t>
          </w:r>
          <w:r>
            <w:tab/>
          </w:r>
          <w:r>
            <w:fldChar w:fldCharType="begin"/>
          </w:r>
          <w:r>
            <w:instrText xml:space="preserve"> PAGEREF _Toc1618 \h </w:instrText>
          </w:r>
          <w:r>
            <w:fldChar w:fldCharType="separate"/>
          </w:r>
          <w:r>
            <w:t>19</w:t>
          </w:r>
          <w:r>
            <w:fldChar w:fldCharType="end"/>
          </w:r>
          <w:r>
            <w:fldChar w:fldCharType="end"/>
          </w:r>
        </w:p>
        <w:p w14:paraId="3B66A19D">
          <w:pPr>
            <w:pStyle w:val="17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_Toc20197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9.2. 服务与联系方式</w:t>
          </w:r>
          <w:r>
            <w:tab/>
          </w:r>
          <w:r>
            <w:fldChar w:fldCharType="begin"/>
          </w:r>
          <w:r>
            <w:instrText xml:space="preserve"> PAGEREF _Toc20197 \h </w:instrText>
          </w:r>
          <w:r>
            <w:fldChar w:fldCharType="separate"/>
          </w:r>
          <w:r>
            <w:t>19</w:t>
          </w:r>
          <w:r>
            <w:fldChar w:fldCharType="end"/>
          </w:r>
          <w:r>
            <w:fldChar w:fldCharType="end"/>
          </w:r>
        </w:p>
        <w:p w14:paraId="37FB887F">
          <w:r>
            <w:fldChar w:fldCharType="end"/>
          </w:r>
        </w:p>
      </w:sdtContent>
    </w:sdt>
    <w:p w14:paraId="2072CD68">
      <w:pPr>
        <w:bidi w:val="0"/>
        <w:rPr>
          <w:rFonts w:hint="default"/>
          <w:lang w:val="en-US" w:eastAsia="zh-CN"/>
        </w:rPr>
        <w:sectPr>
          <w:footerReference r:id="rId4" w:type="default"/>
          <w:pgSz w:w="11906" w:h="16838"/>
          <w:pgMar w:top="1440" w:right="1800" w:bottom="1440" w:left="1800" w:header="1134" w:footer="992" w:gutter="0"/>
          <w:pgNumType w:fmt="upperRoman" w:start="1"/>
          <w:cols w:space="425" w:num="1"/>
          <w:docGrid w:type="lines" w:linePitch="312" w:charSpace="0"/>
        </w:sectPr>
      </w:pPr>
    </w:p>
    <w:p w14:paraId="53BA9929">
      <w:pPr>
        <w:pStyle w:val="2"/>
        <w:bidi w:val="0"/>
        <w:ind w:left="432" w:leftChars="0" w:hanging="432" w:firstLineChars="0"/>
        <w:rPr>
          <w:rFonts w:hint="default"/>
          <w:lang w:val="en-US" w:eastAsia="zh-CN"/>
        </w:rPr>
      </w:pPr>
      <w:bookmarkStart w:id="0" w:name="_Toc30837"/>
      <w:r>
        <w:rPr>
          <w:rFonts w:hint="eastAsia"/>
          <w:lang w:val="en-US" w:eastAsia="zh-CN"/>
        </w:rPr>
        <w:t>手册概述</w:t>
      </w:r>
      <w:bookmarkEnd w:id="0"/>
    </w:p>
    <w:p w14:paraId="1F54A090">
      <w:pPr>
        <w:pStyle w:val="3"/>
        <w:bidi w:val="0"/>
        <w:ind w:left="575" w:leftChars="0" w:hanging="575" w:firstLineChars="0"/>
        <w:rPr>
          <w:rFonts w:hint="default"/>
          <w:lang w:val="en-US" w:eastAsia="zh-CN"/>
        </w:rPr>
      </w:pPr>
      <w:bookmarkStart w:id="1" w:name="_Toc10113"/>
      <w:r>
        <w:rPr>
          <w:rFonts w:hint="eastAsia"/>
          <w:lang w:val="en-US" w:eastAsia="zh-CN"/>
        </w:rPr>
        <w:t>汇采商城简介</w:t>
      </w:r>
      <w:bookmarkEnd w:id="1"/>
    </w:p>
    <w:p w14:paraId="3E835372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汇采商城</w:t>
      </w:r>
      <w:r>
        <w:rPr>
          <w:rFonts w:hint="default"/>
          <w:sz w:val="21"/>
          <w:szCs w:val="21"/>
          <w:lang w:val="en-US" w:eastAsia="zh-CN"/>
        </w:rPr>
        <w:t>是</w:t>
      </w:r>
      <w:r>
        <w:rPr>
          <w:rFonts w:hint="eastAsia"/>
          <w:sz w:val="21"/>
          <w:szCs w:val="21"/>
          <w:lang w:val="en-US" w:eastAsia="zh-CN"/>
        </w:rPr>
        <w:t>龙煤宏泰电商平台</w:t>
      </w:r>
      <w:r>
        <w:rPr>
          <w:rFonts w:hint="default"/>
          <w:sz w:val="21"/>
          <w:szCs w:val="21"/>
          <w:lang w:val="en-US" w:eastAsia="zh-CN"/>
        </w:rPr>
        <w:t>的核心业务模块，是龙煤宏泰打造的专业化、规范化集中采购</w:t>
      </w:r>
      <w:r>
        <w:rPr>
          <w:rFonts w:hint="eastAsia"/>
          <w:sz w:val="21"/>
          <w:szCs w:val="21"/>
          <w:lang w:val="en-US" w:eastAsia="zh-CN"/>
        </w:rPr>
        <w:t>商城，面向中标供应商及龙煤四分子公司，</w:t>
      </w:r>
      <w:r>
        <w:rPr>
          <w:rFonts w:hint="default"/>
          <w:sz w:val="21"/>
          <w:szCs w:val="21"/>
          <w:lang w:val="en-US" w:eastAsia="zh-CN"/>
        </w:rPr>
        <w:t>提供全流程线上化集中采购服务。平台依托数字化技术，实现中标信息同步、框架合同管理、商品维护、订单履约、发货配送、月度结算、发票管理、资金与质保金管理等功能一体化运行。为供应商提供公平、便捷、高效的合作渠道，助力供应商降低合作成本、提升合作效率，实现与采购商的协同共赢。</w:t>
      </w:r>
    </w:p>
    <w:p w14:paraId="3B007C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汇采商城</w:t>
      </w:r>
      <w:r>
        <w:rPr>
          <w:rFonts w:hint="default"/>
          <w:sz w:val="21"/>
          <w:szCs w:val="21"/>
          <w:lang w:val="en-US" w:eastAsia="zh-CN"/>
        </w:rPr>
        <w:t>严格遵循龙煤宏泰相关采购管理制度及行业规范，保障采购业务合规性，同时通过标准化流程、智能化工具，简化供应商操作流程，确保各项业务高效有序推进，打造可持续发展的集采生态体系。</w:t>
      </w:r>
    </w:p>
    <w:p w14:paraId="428371B8">
      <w:pPr>
        <w:pStyle w:val="3"/>
        <w:bidi w:val="0"/>
        <w:ind w:left="575" w:leftChars="0" w:hanging="575" w:firstLineChars="0"/>
        <w:rPr>
          <w:rFonts w:hint="default"/>
          <w:lang w:val="en-US" w:eastAsia="zh-CN"/>
        </w:rPr>
      </w:pPr>
      <w:bookmarkStart w:id="2" w:name="_Toc21397"/>
      <w:r>
        <w:rPr>
          <w:rFonts w:hint="eastAsia"/>
          <w:lang w:val="en-US" w:eastAsia="zh-CN"/>
        </w:rPr>
        <w:t>手册使用说明</w:t>
      </w:r>
      <w:bookmarkEnd w:id="2"/>
    </w:p>
    <w:p w14:paraId="76A12C4D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本手册为</w:t>
      </w:r>
      <w:r>
        <w:rPr>
          <w:rFonts w:hint="eastAsia"/>
          <w:lang w:val="en-US" w:eastAsia="zh-CN"/>
        </w:rPr>
        <w:t>汇采商城</w:t>
      </w:r>
      <w:r>
        <w:rPr>
          <w:rFonts w:hint="default"/>
          <w:lang w:val="en-US" w:eastAsia="zh-CN"/>
        </w:rPr>
        <w:t>（供应商端</w:t>
      </w:r>
      <w:r>
        <w:rPr>
          <w:rFonts w:hint="eastAsia"/>
          <w:lang w:val="en-US" w:eastAsia="zh-CN"/>
        </w:rPr>
        <w:t>）</w:t>
      </w:r>
      <w:r>
        <w:rPr>
          <w:rFonts w:hint="default"/>
          <w:lang w:val="en-US" w:eastAsia="zh-CN"/>
        </w:rPr>
        <w:t>专用操作指引，用于指导供应商用户熟悉系统功能、掌握操作流程、规范业务办理。</w:t>
      </w:r>
    </w:p>
    <w:p w14:paraId="7B3555F6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手册按业务场景分类编写，包含登录</w:t>
      </w:r>
      <w:r>
        <w:rPr>
          <w:rFonts w:hint="eastAsia"/>
          <w:lang w:val="en-US" w:eastAsia="zh-CN"/>
        </w:rPr>
        <w:t>实名</w:t>
      </w:r>
      <w:r>
        <w:rPr>
          <w:rFonts w:hint="default"/>
          <w:lang w:val="en-US" w:eastAsia="zh-CN"/>
        </w:rPr>
        <w:t>认证、合同、商品、订单、结算、资金、账户管理等全模块内容，步骤清晰、图文对应。</w:t>
      </w:r>
    </w:p>
    <w:p w14:paraId="78D9DDC3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手册中所述功能以平台当前正式版本为准，若后续系统升级、流程优化，将以更新版手册同步说明。</w:t>
      </w:r>
    </w:p>
    <w:p w14:paraId="4528DB1E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操作过程中如遇问题，可联系平台运营方获取技术支持。</w:t>
      </w:r>
    </w:p>
    <w:p w14:paraId="0633C285">
      <w:pPr>
        <w:pStyle w:val="3"/>
        <w:bidi w:val="0"/>
        <w:ind w:left="575" w:leftChars="0" w:hanging="575" w:firstLineChars="0"/>
        <w:rPr>
          <w:rFonts w:hint="default"/>
          <w:lang w:val="en-US" w:eastAsia="zh-CN"/>
        </w:rPr>
      </w:pPr>
      <w:bookmarkStart w:id="3" w:name="_Toc22309"/>
      <w:r>
        <w:rPr>
          <w:rFonts w:hint="eastAsia"/>
          <w:lang w:val="en-US" w:eastAsia="zh-CN"/>
        </w:rPr>
        <w:t>系统运行环境</w:t>
      </w:r>
      <w:bookmarkEnd w:id="3"/>
    </w:p>
    <w:p w14:paraId="7D50F0A2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终端设备：支持台式电脑、笔记本电脑（推荐使用电脑端操作）。</w:t>
      </w:r>
    </w:p>
    <w:p w14:paraId="09E4EDE8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浏览器要求：推荐使用Chrome谷歌浏览器、360浏览器（极速模式）、Edge浏览器，建议版本为最新稳定版。</w:t>
      </w:r>
    </w:p>
    <w:p w14:paraId="209B4066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网络环境：正常互联网访问，网络稳定，无特殊端口限制。</w:t>
      </w:r>
    </w:p>
    <w:p w14:paraId="264841B3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文档工具：需安装PDF阅读器、Office/WPS办公软件，用于查看合同、上传资质材料、发票等附件。</w:t>
      </w:r>
    </w:p>
    <w:p w14:paraId="7011A91E">
      <w:pPr>
        <w:pStyle w:val="3"/>
        <w:bidi w:val="0"/>
        <w:ind w:left="575" w:leftChars="0" w:hanging="575" w:firstLineChars="0"/>
        <w:rPr>
          <w:rFonts w:hint="default"/>
          <w:b/>
          <w:lang w:val="en-US" w:eastAsia="zh-CN"/>
        </w:rPr>
      </w:pPr>
      <w:bookmarkStart w:id="4" w:name="_Toc23227"/>
      <w:r>
        <w:rPr>
          <w:rFonts w:hint="default"/>
          <w:b/>
          <w:lang w:val="en-US" w:eastAsia="zh-CN"/>
        </w:rPr>
        <w:t>供应商角色与权限</w:t>
      </w:r>
      <w:bookmarkEnd w:id="4"/>
    </w:p>
    <w:p w14:paraId="54B8B250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账号归属：供应商账号为企业级账号，与中标主体信息绑定，一企业一账号。</w:t>
      </w:r>
    </w:p>
    <w:p w14:paraId="11275502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核心业务权限</w:t>
      </w:r>
      <w:r>
        <w:rPr>
          <w:rFonts w:hint="eastAsia"/>
          <w:lang w:val="en-US" w:eastAsia="zh-CN"/>
        </w:rPr>
        <w:t>：</w:t>
      </w:r>
    </w:p>
    <w:p w14:paraId="2DFE5DC7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实名认证、企业信息查看与维护；</w:t>
      </w:r>
    </w:p>
    <w:p w14:paraId="291C9225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框架合同</w:t>
      </w:r>
      <w:r>
        <w:rPr>
          <w:rFonts w:hint="eastAsia"/>
          <w:lang w:val="en-US" w:eastAsia="zh-CN"/>
        </w:rPr>
        <w:t>、结算合同在线</w:t>
      </w:r>
      <w:r>
        <w:rPr>
          <w:rFonts w:hint="default"/>
          <w:lang w:val="en-US" w:eastAsia="zh-CN"/>
        </w:rPr>
        <w:t>查看</w:t>
      </w:r>
      <w:r>
        <w:rPr>
          <w:rFonts w:hint="eastAsia"/>
          <w:lang w:val="en-US" w:eastAsia="zh-CN"/>
        </w:rPr>
        <w:t>与</w:t>
      </w:r>
      <w:r>
        <w:rPr>
          <w:rFonts w:hint="default"/>
          <w:lang w:val="en-US" w:eastAsia="zh-CN"/>
        </w:rPr>
        <w:t>签署；</w:t>
      </w:r>
    </w:p>
    <w:p w14:paraId="0B5DBE58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中标</w:t>
      </w:r>
      <w:r>
        <w:rPr>
          <w:rFonts w:hint="default"/>
          <w:lang w:val="en-US" w:eastAsia="zh-CN"/>
        </w:rPr>
        <w:t>商品信息</w:t>
      </w:r>
      <w:r>
        <w:rPr>
          <w:rFonts w:hint="eastAsia"/>
          <w:lang w:val="en-US" w:eastAsia="zh-CN"/>
        </w:rPr>
        <w:t>完成</w:t>
      </w:r>
      <w:r>
        <w:rPr>
          <w:rFonts w:hint="default"/>
          <w:lang w:val="en-US" w:eastAsia="zh-CN"/>
        </w:rPr>
        <w:t>、提交审核</w:t>
      </w:r>
      <w:r>
        <w:rPr>
          <w:rFonts w:hint="eastAsia"/>
          <w:lang w:val="en-US" w:eastAsia="zh-CN"/>
        </w:rPr>
        <w:t>、状态查看</w:t>
      </w:r>
      <w:r>
        <w:rPr>
          <w:rFonts w:hint="default"/>
          <w:lang w:val="en-US" w:eastAsia="zh-CN"/>
        </w:rPr>
        <w:t>；</w:t>
      </w:r>
    </w:p>
    <w:p w14:paraId="1F77F8A1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集采订单查看、发货操作、凭证上传</w:t>
      </w:r>
      <w:r>
        <w:rPr>
          <w:rFonts w:hint="eastAsia"/>
          <w:lang w:val="en-US" w:eastAsia="zh-CN"/>
        </w:rPr>
        <w:t>、跟踪状态</w:t>
      </w:r>
      <w:r>
        <w:rPr>
          <w:rFonts w:hint="default"/>
          <w:lang w:val="en-US" w:eastAsia="zh-CN"/>
        </w:rPr>
        <w:t>；</w:t>
      </w:r>
    </w:p>
    <w:p w14:paraId="0875D672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结算</w:t>
      </w:r>
      <w:r>
        <w:rPr>
          <w:rFonts w:hint="eastAsia"/>
          <w:lang w:val="en-US" w:eastAsia="zh-CN"/>
        </w:rPr>
        <w:t>信息确认、</w:t>
      </w:r>
      <w:r>
        <w:rPr>
          <w:rFonts w:hint="default"/>
          <w:lang w:val="en-US" w:eastAsia="zh-CN"/>
        </w:rPr>
        <w:t>发票上传</w:t>
      </w:r>
      <w:r>
        <w:rPr>
          <w:rFonts w:hint="eastAsia"/>
          <w:lang w:val="en-US" w:eastAsia="zh-CN"/>
        </w:rPr>
        <w:t>、服务费缴纳</w:t>
      </w:r>
      <w:r>
        <w:rPr>
          <w:rFonts w:hint="default"/>
          <w:lang w:val="en-US" w:eastAsia="zh-CN"/>
        </w:rPr>
        <w:t>；</w:t>
      </w:r>
    </w:p>
    <w:p w14:paraId="7A2FC086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资金概况</w:t>
      </w:r>
      <w:r>
        <w:rPr>
          <w:rFonts w:hint="eastAsia"/>
          <w:lang w:val="en-US" w:eastAsia="zh-CN"/>
        </w:rPr>
        <w:t>查看，</w:t>
      </w:r>
      <w:r>
        <w:rPr>
          <w:rFonts w:hint="default"/>
          <w:lang w:val="en-US" w:eastAsia="zh-CN"/>
        </w:rPr>
        <w:t>订单结转、质保金</w:t>
      </w:r>
      <w:r>
        <w:rPr>
          <w:rFonts w:hint="eastAsia"/>
          <w:lang w:val="en-US" w:eastAsia="zh-CN"/>
        </w:rPr>
        <w:t>明细</w:t>
      </w:r>
      <w:r>
        <w:rPr>
          <w:rFonts w:hint="default"/>
          <w:lang w:val="en-US" w:eastAsia="zh-CN"/>
        </w:rPr>
        <w:t>信息查询；</w:t>
      </w:r>
    </w:p>
    <w:p w14:paraId="51B958C9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子管理员添加、编辑。</w:t>
      </w:r>
    </w:p>
    <w:p w14:paraId="2EE0E73E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使用约束：供应商应妥善保管账号密码，对账号下所有操作承担责任，不得转借、泄露账号信息。</w:t>
      </w:r>
    </w:p>
    <w:p w14:paraId="2778D683">
      <w:pPr>
        <w:pStyle w:val="2"/>
        <w:bidi w:val="0"/>
        <w:ind w:left="432" w:leftChars="0" w:hanging="432" w:firstLineChars="0"/>
        <w:rPr>
          <w:rFonts w:hint="default"/>
          <w:lang w:val="en-US" w:eastAsia="zh-CN"/>
        </w:rPr>
      </w:pPr>
      <w:bookmarkStart w:id="5" w:name="_Toc29718"/>
      <w:r>
        <w:rPr>
          <w:rFonts w:hint="eastAsia"/>
          <w:lang w:val="en-US" w:eastAsia="zh-CN"/>
        </w:rPr>
        <w:t>核心业务流程</w:t>
      </w:r>
      <w:bookmarkEnd w:id="5"/>
    </w:p>
    <w:p w14:paraId="6439ACA7">
      <w:pPr>
        <w:pStyle w:val="3"/>
        <w:bidi w:val="0"/>
        <w:ind w:left="575" w:leftChars="0" w:hanging="575" w:firstLineChars="0"/>
        <w:rPr>
          <w:rFonts w:hint="default"/>
          <w:lang w:val="en-US" w:eastAsia="zh-CN"/>
        </w:rPr>
      </w:pPr>
      <w:bookmarkStart w:id="6" w:name="_Toc3811"/>
      <w:r>
        <w:rPr>
          <w:rFonts w:hint="eastAsia"/>
          <w:lang w:val="en-US" w:eastAsia="zh-CN"/>
        </w:rPr>
        <w:t>实名认证</w:t>
      </w:r>
      <w:bookmarkEnd w:id="6"/>
    </w:p>
    <w:p w14:paraId="6BE3D12E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供应商登录平台后，系统将自动同步中标企业基础信息，供应商需补充完善联系人、银行账户、地址及联系方式等相关信息，上传资质材料并提交平台审核，按</w:t>
      </w:r>
      <w:r>
        <w:rPr>
          <w:rFonts w:hint="eastAsia"/>
          <w:lang w:val="en-US" w:eastAsia="zh-CN"/>
        </w:rPr>
        <w:t>龙煤宏泰相关制度</w:t>
      </w:r>
      <w:r>
        <w:rPr>
          <w:rFonts w:hint="default"/>
          <w:lang w:val="en-US" w:eastAsia="zh-CN"/>
        </w:rPr>
        <w:t>缴纳会员</w:t>
      </w:r>
      <w:r>
        <w:rPr>
          <w:rFonts w:hint="eastAsia"/>
          <w:lang w:val="en-US" w:eastAsia="zh-CN"/>
        </w:rPr>
        <w:t>注册</w:t>
      </w:r>
      <w:r>
        <w:rPr>
          <w:rFonts w:hint="default"/>
          <w:lang w:val="en-US" w:eastAsia="zh-CN"/>
        </w:rPr>
        <w:t>费，等待运营管理员完成审核与账号激活；审核通过后，账号正式启用，供应商可开展后续业务操作。</w:t>
      </w:r>
    </w:p>
    <w:p w14:paraId="2912A3B0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企业信息：企业名称、统一社会信用代码、企业类型、注册资金、注册地址、经营范围、企业资质附件等信息；需按要求上传清晰的电子版文件（支持图片、PDF格式），确保资质材料真实有效、证照处于有效期内；</w:t>
      </w:r>
    </w:p>
    <w:p w14:paraId="0BCE139C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法人信息：证件类型、法人身份证件正反面、法定代表人姓名、身份证号码、证件有效期限、法人联系方式、销售经理姓名及联系方式，业务联系人姓名及联系方式，便于平台日常业务对接与通知传达；</w:t>
      </w:r>
    </w:p>
    <w:p w14:paraId="7F95E111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银行账户信息：发票类型、企业名称、纳税人识别号、开户银行、基本开户账号、注册地址、电话、承兑汇票账号，所填银行及税务开票信息必须与后续结算收款账户、发票开具信息保持完全一致，避免影响开票、结算及货款到账。</w:t>
      </w:r>
    </w:p>
    <w:p w14:paraId="4743018A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实名认证材料</w:t>
      </w:r>
    </w:p>
    <w:tbl>
      <w:tblPr>
        <w:tblStyle w:val="19"/>
        <w:tblW w:w="85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79"/>
        <w:gridCol w:w="1580"/>
        <w:gridCol w:w="1580"/>
        <w:gridCol w:w="1580"/>
      </w:tblGrid>
      <w:tr w14:paraId="1C998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0CD3FA9E">
            <w:pPr>
              <w:ind w:left="0" w:leftChars="0" w:right="0" w:rightChars="0" w:firstLine="0" w:firstLineChars="0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材料名称</w:t>
            </w:r>
          </w:p>
        </w:tc>
        <w:tc>
          <w:tcPr>
            <w:tcW w:w="0" w:type="auto"/>
          </w:tcPr>
          <w:p w14:paraId="092DAD11">
            <w:pPr>
              <w:ind w:left="0" w:leftChars="0" w:right="0" w:rightChars="0" w:firstLine="0" w:firstLineChars="0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材料形式</w:t>
            </w:r>
          </w:p>
        </w:tc>
        <w:tc>
          <w:tcPr>
            <w:tcW w:w="0" w:type="auto"/>
          </w:tcPr>
          <w:p w14:paraId="793E9035">
            <w:pPr>
              <w:ind w:left="0" w:leftChars="0" w:right="0" w:rightChars="0" w:firstLine="0" w:firstLineChars="0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材料类型</w:t>
            </w:r>
          </w:p>
        </w:tc>
        <w:tc>
          <w:tcPr>
            <w:tcW w:w="1580" w:type="dxa"/>
          </w:tcPr>
          <w:p w14:paraId="33C2A6C9">
            <w:pPr>
              <w:ind w:left="0" w:leftChars="0" w:right="0" w:rightChars="0" w:firstLine="0" w:firstLineChars="0"/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备注</w:t>
            </w:r>
          </w:p>
        </w:tc>
      </w:tr>
      <w:tr w14:paraId="486B5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7C0407CF">
            <w:pPr>
              <w:ind w:left="0" w:leftChars="0" w:right="0" w:rightChars="0" w:firstLine="0" w:firstLineChars="0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营业执照</w:t>
            </w:r>
          </w:p>
        </w:tc>
        <w:tc>
          <w:tcPr>
            <w:tcW w:w="0" w:type="auto"/>
          </w:tcPr>
          <w:p w14:paraId="447ACA4D">
            <w:pPr>
              <w:ind w:left="0" w:leftChars="0" w:right="0" w:rightChars="0" w:firstLine="0" w:firstLineChars="0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电子</w:t>
            </w:r>
          </w:p>
        </w:tc>
        <w:tc>
          <w:tcPr>
            <w:tcW w:w="0" w:type="auto"/>
          </w:tcPr>
          <w:p w14:paraId="69E41C56">
            <w:pPr>
              <w:ind w:left="0" w:leftChars="0" w:right="0" w:rightChars="0" w:firstLine="0" w:firstLineChars="0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副本原件</w:t>
            </w:r>
          </w:p>
        </w:tc>
        <w:tc>
          <w:tcPr>
            <w:tcW w:w="1580" w:type="dxa"/>
          </w:tcPr>
          <w:p w14:paraId="41900C0F">
            <w:pPr>
              <w:ind w:left="0" w:leftChars="0" w:right="0" w:rightChars="0" w:firstLine="0" w:firstLineChars="0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58A4BC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3E5FFBD2">
            <w:pPr>
              <w:ind w:left="0" w:leftChars="0" w:right="0" w:rightChars="0" w:firstLine="0" w:firstLineChars="0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中标通知书</w:t>
            </w:r>
          </w:p>
        </w:tc>
        <w:tc>
          <w:tcPr>
            <w:tcW w:w="0" w:type="auto"/>
          </w:tcPr>
          <w:p w14:paraId="5989CDB6">
            <w:pPr>
              <w:ind w:left="0" w:leftChars="0" w:right="0" w:rightChars="0" w:firstLine="0" w:firstLineChars="0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电子</w:t>
            </w:r>
          </w:p>
        </w:tc>
        <w:tc>
          <w:tcPr>
            <w:tcW w:w="0" w:type="auto"/>
          </w:tcPr>
          <w:p w14:paraId="371F75D2">
            <w:pPr>
              <w:ind w:left="0" w:leftChars="0" w:right="0" w:rightChars="0" w:firstLine="0" w:firstLineChars="0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原件</w:t>
            </w:r>
          </w:p>
        </w:tc>
        <w:tc>
          <w:tcPr>
            <w:tcW w:w="1580" w:type="dxa"/>
          </w:tcPr>
          <w:p w14:paraId="06670C60">
            <w:pPr>
              <w:ind w:left="0" w:leftChars="0" w:right="0" w:rightChars="0" w:firstLine="0" w:firstLineChars="0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C6935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33A2570B">
            <w:pPr>
              <w:ind w:left="0" w:leftChars="0" w:right="0" w:rightChars="0" w:firstLine="0" w:firstLineChars="0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银行开户许可证</w:t>
            </w:r>
          </w:p>
        </w:tc>
        <w:tc>
          <w:tcPr>
            <w:tcW w:w="0" w:type="auto"/>
          </w:tcPr>
          <w:p w14:paraId="77F85DDB">
            <w:pPr>
              <w:ind w:left="0" w:leftChars="0" w:right="0" w:rightChars="0" w:firstLine="0" w:firstLineChars="0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电子</w:t>
            </w:r>
          </w:p>
        </w:tc>
        <w:tc>
          <w:tcPr>
            <w:tcW w:w="0" w:type="auto"/>
          </w:tcPr>
          <w:p w14:paraId="4011E1C2">
            <w:pPr>
              <w:ind w:left="0" w:leftChars="0" w:right="0" w:rightChars="0" w:firstLine="0" w:firstLineChars="0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原件</w:t>
            </w:r>
          </w:p>
        </w:tc>
        <w:tc>
          <w:tcPr>
            <w:tcW w:w="1580" w:type="dxa"/>
          </w:tcPr>
          <w:p w14:paraId="210C97D2">
            <w:pPr>
              <w:ind w:left="0" w:leftChars="0" w:right="0" w:rightChars="0" w:firstLine="0" w:firstLineChars="0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54BDC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1018D233">
            <w:pPr>
              <w:ind w:left="0" w:leftChars="0" w:right="0" w:rightChars="0" w:firstLine="0" w:firstLineChars="0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一般纳税人资格证明</w:t>
            </w:r>
          </w:p>
        </w:tc>
        <w:tc>
          <w:tcPr>
            <w:tcW w:w="0" w:type="auto"/>
          </w:tcPr>
          <w:p w14:paraId="410FDD72">
            <w:pPr>
              <w:ind w:left="0" w:leftChars="0" w:right="0" w:rightChars="0" w:firstLine="0" w:firstLineChars="0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电子</w:t>
            </w:r>
          </w:p>
        </w:tc>
        <w:tc>
          <w:tcPr>
            <w:tcW w:w="0" w:type="auto"/>
          </w:tcPr>
          <w:p w14:paraId="4AE2470B">
            <w:pPr>
              <w:ind w:left="0" w:leftChars="0" w:right="0" w:rightChars="0" w:firstLine="0" w:firstLineChars="0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原件</w:t>
            </w:r>
          </w:p>
        </w:tc>
        <w:tc>
          <w:tcPr>
            <w:tcW w:w="1580" w:type="dxa"/>
          </w:tcPr>
          <w:p w14:paraId="39E339A1">
            <w:pPr>
              <w:ind w:left="0" w:leftChars="0" w:right="0" w:rightChars="0" w:firstLine="0" w:firstLineChars="0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08AE28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1CEFD29E">
            <w:pPr>
              <w:ind w:left="0" w:leftChars="0" w:right="0" w:rightChars="0" w:firstLine="0" w:firstLineChars="0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授权书</w:t>
            </w:r>
          </w:p>
        </w:tc>
        <w:tc>
          <w:tcPr>
            <w:tcW w:w="0" w:type="auto"/>
          </w:tcPr>
          <w:p w14:paraId="5316B914">
            <w:pPr>
              <w:ind w:left="0" w:leftChars="0" w:right="0" w:rightChars="0" w:firstLine="0" w:firstLineChars="0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电子</w:t>
            </w:r>
          </w:p>
        </w:tc>
        <w:tc>
          <w:tcPr>
            <w:tcW w:w="0" w:type="auto"/>
          </w:tcPr>
          <w:p w14:paraId="7E05DA22">
            <w:pPr>
              <w:ind w:left="0" w:leftChars="0" w:right="0" w:rightChars="0" w:firstLine="0" w:firstLineChars="0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原件</w:t>
            </w:r>
          </w:p>
        </w:tc>
        <w:tc>
          <w:tcPr>
            <w:tcW w:w="1580" w:type="dxa"/>
          </w:tcPr>
          <w:p w14:paraId="2BDF9923">
            <w:pPr>
              <w:ind w:left="0" w:leftChars="0" w:right="0" w:rightChars="0" w:firstLine="0" w:firstLineChars="0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平台下载</w:t>
            </w:r>
          </w:p>
        </w:tc>
      </w:tr>
      <w:tr w14:paraId="601C8A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657AAB6E">
            <w:pPr>
              <w:ind w:left="0" w:leftChars="0" w:right="0" w:rightChars="0" w:firstLine="0" w:firstLineChars="0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质量认证体系</w:t>
            </w:r>
          </w:p>
        </w:tc>
        <w:tc>
          <w:tcPr>
            <w:tcW w:w="0" w:type="auto"/>
          </w:tcPr>
          <w:p w14:paraId="7BEE674E">
            <w:pPr>
              <w:ind w:left="0" w:leftChars="0" w:right="0" w:rightChars="0" w:firstLine="0" w:firstLineChars="0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电子</w:t>
            </w:r>
          </w:p>
        </w:tc>
        <w:tc>
          <w:tcPr>
            <w:tcW w:w="0" w:type="auto"/>
          </w:tcPr>
          <w:p w14:paraId="4D4794DA">
            <w:pPr>
              <w:ind w:left="0" w:leftChars="0" w:right="0" w:rightChars="0" w:firstLine="0" w:firstLineChars="0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原件</w:t>
            </w:r>
          </w:p>
        </w:tc>
        <w:tc>
          <w:tcPr>
            <w:tcW w:w="1580" w:type="dxa"/>
          </w:tcPr>
          <w:p w14:paraId="034500F8">
            <w:pPr>
              <w:ind w:left="0" w:leftChars="0" w:right="0" w:rightChars="0" w:firstLine="0" w:firstLineChars="0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D1B08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4EA4BCDF">
            <w:pPr>
              <w:ind w:left="0" w:leftChars="0" w:right="0" w:rightChars="0" w:firstLine="0" w:firstLineChars="0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会员注册费</w:t>
            </w:r>
          </w:p>
        </w:tc>
        <w:tc>
          <w:tcPr>
            <w:tcW w:w="0" w:type="auto"/>
          </w:tcPr>
          <w:p w14:paraId="7727D0A0">
            <w:pPr>
              <w:ind w:left="0" w:leftChars="0" w:right="0" w:rightChars="0" w:firstLine="0" w:firstLineChars="0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电子</w:t>
            </w:r>
          </w:p>
        </w:tc>
        <w:tc>
          <w:tcPr>
            <w:tcW w:w="0" w:type="auto"/>
          </w:tcPr>
          <w:p w14:paraId="5A808F82">
            <w:pPr>
              <w:ind w:left="0" w:leftChars="0" w:right="0" w:rightChars="0" w:firstLine="0" w:firstLineChars="0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电子回单</w:t>
            </w:r>
          </w:p>
        </w:tc>
        <w:tc>
          <w:tcPr>
            <w:tcW w:w="1580" w:type="dxa"/>
          </w:tcPr>
          <w:p w14:paraId="0DD996FB">
            <w:pPr>
              <w:ind w:left="0" w:leftChars="0" w:right="0" w:rightChars="0" w:firstLine="0" w:firstLineChars="0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0F4FC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79" w:type="dxa"/>
          </w:tcPr>
          <w:p w14:paraId="6947B2A8">
            <w:pPr>
              <w:ind w:left="0" w:leftChars="0" w:right="0" w:rightChars="0" w:firstLine="0" w:firstLineChars="0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法人身份证（正、反面）</w:t>
            </w:r>
          </w:p>
        </w:tc>
        <w:tc>
          <w:tcPr>
            <w:tcW w:w="1580" w:type="dxa"/>
          </w:tcPr>
          <w:p w14:paraId="2157AB5B">
            <w:pPr>
              <w:ind w:left="0" w:leftChars="0" w:right="0" w:rightChars="0" w:firstLine="0" w:firstLineChars="0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电子</w:t>
            </w:r>
          </w:p>
        </w:tc>
        <w:tc>
          <w:tcPr>
            <w:tcW w:w="1580" w:type="dxa"/>
          </w:tcPr>
          <w:p w14:paraId="6200A4B3">
            <w:pPr>
              <w:ind w:left="0" w:leftChars="0" w:right="0" w:rightChars="0" w:firstLine="0" w:firstLineChars="0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原件</w:t>
            </w:r>
          </w:p>
        </w:tc>
        <w:tc>
          <w:tcPr>
            <w:tcW w:w="1580" w:type="dxa"/>
          </w:tcPr>
          <w:p w14:paraId="1E59A605">
            <w:pPr>
              <w:ind w:left="0" w:leftChars="0" w:right="0" w:rightChars="0" w:firstLine="0" w:firstLineChars="0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 w14:paraId="5FD1244E">
      <w:pPr>
        <w:rPr>
          <w:rFonts w:hint="default"/>
          <w:lang w:val="en-US" w:eastAsia="zh-CN"/>
        </w:rPr>
      </w:pPr>
    </w:p>
    <w:p w14:paraId="28C701CD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会员注册费汇款户名、开户行及账号</w:t>
      </w:r>
    </w:p>
    <w:tbl>
      <w:tblPr>
        <w:tblStyle w:val="1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3"/>
        <w:gridCol w:w="7419"/>
      </w:tblGrid>
      <w:tr w14:paraId="16CED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3" w:type="dxa"/>
          </w:tcPr>
          <w:p w14:paraId="2307A5F2">
            <w:pP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名称</w:t>
            </w:r>
          </w:p>
        </w:tc>
        <w:tc>
          <w:tcPr>
            <w:tcW w:w="7419" w:type="dxa"/>
          </w:tcPr>
          <w:p w14:paraId="72A27329"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黑龙江龙煤宏泰国际贸易有限公司</w:t>
            </w:r>
          </w:p>
        </w:tc>
      </w:tr>
      <w:tr w14:paraId="677D7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3" w:type="dxa"/>
            <w:shd w:val="clear" w:color="auto" w:fill="auto"/>
            <w:vAlign w:val="top"/>
          </w:tcPr>
          <w:p w14:paraId="64CA710E">
            <w:pPr>
              <w:rPr>
                <w:rFonts w:hint="eastAsia" w:ascii="黑体" w:hAnsi="黑体" w:eastAsia="黑体" w:cs="黑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开户银行</w:t>
            </w:r>
          </w:p>
        </w:tc>
        <w:tc>
          <w:tcPr>
            <w:tcW w:w="7419" w:type="dxa"/>
            <w:shd w:val="clear" w:color="auto" w:fill="auto"/>
            <w:vAlign w:val="top"/>
          </w:tcPr>
          <w:p w14:paraId="1A3F1BEC">
            <w:pP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中国银行哈尔滨开发区支行</w:t>
            </w:r>
          </w:p>
        </w:tc>
      </w:tr>
      <w:tr w14:paraId="6841F9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3" w:type="dxa"/>
            <w:shd w:val="clear" w:color="auto" w:fill="auto"/>
            <w:vAlign w:val="top"/>
          </w:tcPr>
          <w:p w14:paraId="2A6D5184">
            <w:pPr>
              <w:rPr>
                <w:rFonts w:hint="eastAsia" w:ascii="黑体" w:hAnsi="黑体" w:eastAsia="黑体" w:cs="黑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2"/>
                <w:sz w:val="21"/>
                <w:szCs w:val="21"/>
                <w:vertAlign w:val="baseline"/>
                <w:lang w:val="en-US" w:eastAsia="zh-CN" w:bidi="ar-SA"/>
              </w:rPr>
              <w:t>银行账户</w:t>
            </w:r>
          </w:p>
        </w:tc>
        <w:tc>
          <w:tcPr>
            <w:tcW w:w="7419" w:type="dxa"/>
            <w:shd w:val="clear" w:color="auto" w:fill="auto"/>
            <w:vAlign w:val="top"/>
          </w:tcPr>
          <w:p w14:paraId="76DB7EC5">
            <w:pP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173965274962</w:t>
            </w:r>
          </w:p>
        </w:tc>
      </w:tr>
      <w:tr w14:paraId="717AE7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3" w:type="dxa"/>
            <w:shd w:val="clear" w:color="auto" w:fill="auto"/>
            <w:vAlign w:val="top"/>
          </w:tcPr>
          <w:p w14:paraId="4717A219">
            <w:pPr>
              <w:rPr>
                <w:rFonts w:hint="default" w:ascii="黑体" w:hAnsi="黑体" w:eastAsia="黑体" w:cs="黑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2"/>
                <w:sz w:val="21"/>
                <w:szCs w:val="21"/>
                <w:vertAlign w:val="baseline"/>
                <w:lang w:val="en-US" w:eastAsia="zh-CN" w:bidi="ar-SA"/>
              </w:rPr>
              <w:t>备注</w:t>
            </w:r>
          </w:p>
        </w:tc>
        <w:tc>
          <w:tcPr>
            <w:tcW w:w="7419" w:type="dxa"/>
            <w:shd w:val="clear" w:color="auto" w:fill="auto"/>
            <w:vAlign w:val="top"/>
          </w:tcPr>
          <w:p w14:paraId="28FA7862">
            <w:pPr>
              <w:rPr>
                <w:rFonts w:hint="default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汇采商城会员注册费用</w:t>
            </w:r>
          </w:p>
        </w:tc>
      </w:tr>
    </w:tbl>
    <w:p w14:paraId="250CE448">
      <w:pPr>
        <w:rPr>
          <w:rFonts w:hint="default"/>
          <w:lang w:val="en-US" w:eastAsia="zh-CN"/>
        </w:rPr>
      </w:pPr>
    </w:p>
    <w:p w14:paraId="26133A5C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81295" cy="5380355"/>
            <wp:effectExtent l="0" t="0" r="6985" b="14605"/>
            <wp:docPr id="4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81295" cy="53803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B358140">
      <w:pPr>
        <w:pStyle w:val="11"/>
        <w:jc w:val="center"/>
        <w:rPr>
          <w:rFonts w:hint="default" w:eastAsia="黑体"/>
          <w:lang w:val="en-US" w:eastAsia="zh-CN"/>
        </w:rPr>
      </w:pPr>
      <w:r>
        <w:t>图</w:t>
      </w:r>
      <w:r>
        <w:fldChar w:fldCharType="begin"/>
      </w:r>
      <w:r>
        <w:instrText xml:space="preserve"> STYLEREF 1 \s </w:instrText>
      </w:r>
      <w:r>
        <w:fldChar w:fldCharType="separate"/>
      </w:r>
      <w:r>
        <w:t>二</w:t>
      </w:r>
      <w:r>
        <w:fldChar w:fldCharType="end"/>
      </w:r>
      <w:r>
        <w:rPr>
          <w:rFonts w:hint="eastAsia"/>
          <w:lang w:eastAsia="zh-CN"/>
        </w:rPr>
        <w:t>-</w:t>
      </w:r>
      <w:r>
        <w:fldChar w:fldCharType="begin"/>
      </w:r>
      <w:r>
        <w:instrText xml:space="preserve"> SEQ 图 \* ARABIC \s 1 </w:instrText>
      </w:r>
      <w:r>
        <w:fldChar w:fldCharType="separate"/>
      </w:r>
      <w:r>
        <w:t>1</w:t>
      </w:r>
      <w:r>
        <w:fldChar w:fldCharType="end"/>
      </w:r>
      <w:r>
        <w:rPr>
          <w:rFonts w:hint="eastAsia"/>
          <w:lang w:val="en-US" w:eastAsia="zh-CN"/>
        </w:rPr>
        <w:t>实名认证流程图</w:t>
      </w:r>
    </w:p>
    <w:p w14:paraId="19C46046">
      <w:pPr>
        <w:pStyle w:val="3"/>
        <w:bidi w:val="0"/>
        <w:ind w:left="575" w:leftChars="0" w:hanging="575" w:firstLineChars="0"/>
        <w:rPr>
          <w:rFonts w:hint="eastAsia"/>
          <w:lang w:val="en-US" w:eastAsia="zh-CN"/>
        </w:rPr>
      </w:pPr>
      <w:bookmarkStart w:id="7" w:name="_Toc20558"/>
      <w:r>
        <w:rPr>
          <w:rFonts w:hint="eastAsia" w:cstheme="minorBidi"/>
          <w:b/>
          <w:kern w:val="2"/>
          <w:sz w:val="32"/>
          <w:szCs w:val="24"/>
          <w:lang w:val="en-US" w:eastAsia="zh-CN" w:bidi="ar-SA"/>
        </w:rPr>
        <w:t>框架合同签署</w:t>
      </w:r>
      <w:bookmarkEnd w:id="7"/>
    </w:p>
    <w:p w14:paraId="729BF922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/>
          <w:lang w:val="en-US" w:eastAsia="zh-CN"/>
        </w:rPr>
        <w:t>实名认证审核通过后，平台将依据中标信息自动生成框架合同；供应商登录系统查看合同内容、中标范围及履约要求，确认无误后完成线上签署，合同签署完毕即正式生效，作为后续商品上架、订单履约、款项结算的唯一合法依据。</w:t>
      </w:r>
    </w:p>
    <w:p w14:paraId="5ABB7F3E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81295" cy="4946650"/>
            <wp:effectExtent l="0" t="0" r="6985" b="6350"/>
            <wp:docPr id="7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81295" cy="49466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04584B3">
      <w:pPr>
        <w:pStyle w:val="11"/>
        <w:jc w:val="center"/>
        <w:rPr>
          <w:rFonts w:hint="default" w:eastAsia="黑体"/>
          <w:lang w:val="en-US" w:eastAsia="zh-CN"/>
        </w:rPr>
      </w:pPr>
      <w:r>
        <w:t>图</w:t>
      </w:r>
      <w:r>
        <w:fldChar w:fldCharType="begin"/>
      </w:r>
      <w:r>
        <w:instrText xml:space="preserve"> STYLEREF 1 \s </w:instrText>
      </w:r>
      <w:r>
        <w:fldChar w:fldCharType="separate"/>
      </w:r>
      <w:r>
        <w:t>二</w:t>
      </w:r>
      <w:r>
        <w:fldChar w:fldCharType="end"/>
      </w:r>
      <w:r>
        <w:rPr>
          <w:rFonts w:hint="eastAsia"/>
          <w:lang w:eastAsia="zh-CN"/>
        </w:rPr>
        <w:t>-</w:t>
      </w:r>
      <w:r>
        <w:fldChar w:fldCharType="begin"/>
      </w:r>
      <w:r>
        <w:instrText xml:space="preserve"> SEQ 图 \* ARABIC \s 1 </w:instrText>
      </w:r>
      <w:r>
        <w:fldChar w:fldCharType="separate"/>
      </w:r>
      <w:r>
        <w:t>2</w:t>
      </w:r>
      <w:r>
        <w:fldChar w:fldCharType="end"/>
      </w:r>
      <w:r>
        <w:rPr>
          <w:rFonts w:hint="eastAsia"/>
          <w:lang w:val="en-US" w:eastAsia="zh-CN"/>
        </w:rPr>
        <w:t>框架合同签署流程图</w:t>
      </w:r>
    </w:p>
    <w:p w14:paraId="50F23DEE">
      <w:pPr>
        <w:pStyle w:val="3"/>
        <w:bidi w:val="0"/>
        <w:ind w:left="575" w:leftChars="0" w:hanging="575" w:firstLineChars="0"/>
        <w:rPr>
          <w:rFonts w:hint="eastAsia" w:ascii="Arial" w:hAnsi="Arial" w:eastAsia="黑体" w:cstheme="minorBidi"/>
          <w:b/>
          <w:kern w:val="2"/>
          <w:sz w:val="32"/>
          <w:szCs w:val="24"/>
          <w:lang w:val="en-US" w:eastAsia="zh-CN" w:bidi="ar-SA"/>
        </w:rPr>
      </w:pPr>
      <w:bookmarkStart w:id="8" w:name="_Toc17220"/>
      <w:r>
        <w:rPr>
          <w:rFonts w:hint="eastAsia" w:cstheme="minorBidi"/>
          <w:b/>
          <w:kern w:val="2"/>
          <w:sz w:val="32"/>
          <w:szCs w:val="24"/>
          <w:lang w:val="en-US" w:eastAsia="zh-CN" w:bidi="ar-SA"/>
        </w:rPr>
        <w:t>商品维护上架</w:t>
      </w:r>
      <w:bookmarkEnd w:id="8"/>
    </w:p>
    <w:p w14:paraId="3DD0AC48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/>
          <w:lang w:val="en-US" w:eastAsia="zh-CN"/>
        </w:rPr>
        <w:t>框架合同签署完成后，系统将自动同步中标商品信息；供应商按要求补充完善商品属性、商品图片、交货说明、生产周期、最少起购数量等相关内容，提交平台运营管理员审核，审核通过后商品即可正式上架，面向汇采商城采购商用户开放采购。</w:t>
      </w:r>
    </w:p>
    <w:p w14:paraId="49E3FA33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81295" cy="3844925"/>
            <wp:effectExtent l="0" t="0" r="6985" b="10795"/>
            <wp:docPr id="8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 descr="IMG_25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81295" cy="3844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A87ABF9">
      <w:pPr>
        <w:pStyle w:val="11"/>
        <w:jc w:val="center"/>
        <w:rPr>
          <w:rFonts w:hint="default" w:eastAsia="黑体"/>
          <w:lang w:val="en-US" w:eastAsia="zh-CN"/>
        </w:rPr>
      </w:pPr>
      <w:r>
        <w:t>图</w:t>
      </w:r>
      <w:r>
        <w:fldChar w:fldCharType="begin"/>
      </w:r>
      <w:r>
        <w:instrText xml:space="preserve"> STYLEREF 1 \s </w:instrText>
      </w:r>
      <w:r>
        <w:fldChar w:fldCharType="separate"/>
      </w:r>
      <w:r>
        <w:t>二</w:t>
      </w:r>
      <w:r>
        <w:fldChar w:fldCharType="end"/>
      </w:r>
      <w:r>
        <w:rPr>
          <w:rFonts w:hint="eastAsia"/>
          <w:lang w:eastAsia="zh-CN"/>
        </w:rPr>
        <w:t>-</w:t>
      </w:r>
      <w:r>
        <w:fldChar w:fldCharType="begin"/>
      </w:r>
      <w:r>
        <w:instrText xml:space="preserve"> SEQ 图 \* ARABIC \s 1 </w:instrText>
      </w:r>
      <w:r>
        <w:fldChar w:fldCharType="separate"/>
      </w:r>
      <w:r>
        <w:t>3</w:t>
      </w:r>
      <w:r>
        <w:fldChar w:fldCharType="end"/>
      </w:r>
      <w:r>
        <w:rPr>
          <w:rFonts w:hint="eastAsia"/>
          <w:lang w:val="en-US" w:eastAsia="zh-CN"/>
        </w:rPr>
        <w:t>商品维护上架流程图</w:t>
      </w:r>
    </w:p>
    <w:p w14:paraId="23AC0162">
      <w:pPr>
        <w:pStyle w:val="3"/>
        <w:bidi w:val="0"/>
        <w:ind w:left="575" w:leftChars="0" w:hanging="575" w:firstLineChars="0"/>
        <w:rPr>
          <w:rFonts w:hint="eastAsia" w:ascii="Arial" w:hAnsi="Arial" w:eastAsia="黑体" w:cstheme="minorBidi"/>
          <w:b/>
          <w:kern w:val="2"/>
          <w:sz w:val="32"/>
          <w:szCs w:val="24"/>
          <w:lang w:val="en-US" w:eastAsia="zh-CN" w:bidi="ar-SA"/>
        </w:rPr>
      </w:pPr>
      <w:bookmarkStart w:id="9" w:name="_Toc16048"/>
      <w:r>
        <w:rPr>
          <w:rFonts w:hint="eastAsia" w:cstheme="minorBidi"/>
          <w:b/>
          <w:kern w:val="2"/>
          <w:sz w:val="32"/>
          <w:szCs w:val="24"/>
          <w:lang w:val="en-US" w:eastAsia="zh-CN" w:bidi="ar-SA"/>
        </w:rPr>
        <w:t>订单商品发货</w:t>
      </w:r>
      <w:bookmarkEnd w:id="9"/>
    </w:p>
    <w:p w14:paraId="43E72366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平台完成采购商采购订单汇总后同步至供应商端，供应商按汇总订单组织备货与发货并上传发货凭证，系统将按后台设置天数自动进行超时未发货提醒，长周期物料需提前规划生产及发货时间，确保按期交付。</w:t>
      </w:r>
    </w:p>
    <w:p w14:paraId="48371422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81295" cy="3991610"/>
            <wp:effectExtent l="0" t="0" r="6985" b="1270"/>
            <wp:docPr id="9" name="图片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 descr="IMG_25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81295" cy="39916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663EACF">
      <w:pPr>
        <w:pStyle w:val="11"/>
        <w:jc w:val="center"/>
        <w:rPr>
          <w:rFonts w:hint="default" w:eastAsia="黑体"/>
          <w:lang w:val="en-US" w:eastAsia="zh-CN"/>
        </w:rPr>
      </w:pPr>
      <w:r>
        <w:t>图</w:t>
      </w:r>
      <w:r>
        <w:fldChar w:fldCharType="begin"/>
      </w:r>
      <w:r>
        <w:instrText xml:space="preserve"> STYLEREF 1 \s </w:instrText>
      </w:r>
      <w:r>
        <w:fldChar w:fldCharType="separate"/>
      </w:r>
      <w:r>
        <w:t>二</w:t>
      </w:r>
      <w:r>
        <w:fldChar w:fldCharType="end"/>
      </w:r>
      <w:r>
        <w:rPr>
          <w:rFonts w:hint="eastAsia"/>
          <w:lang w:eastAsia="zh-CN"/>
        </w:rPr>
        <w:t>-</w:t>
      </w:r>
      <w:r>
        <w:fldChar w:fldCharType="begin"/>
      </w:r>
      <w:r>
        <w:instrText xml:space="preserve"> SEQ 图 \* ARABIC \s 1 </w:instrText>
      </w:r>
      <w:r>
        <w:fldChar w:fldCharType="separate"/>
      </w:r>
      <w:r>
        <w:t>4</w:t>
      </w:r>
      <w:r>
        <w:fldChar w:fldCharType="end"/>
      </w:r>
      <w:r>
        <w:rPr>
          <w:rFonts w:hint="eastAsia"/>
          <w:lang w:val="en-US" w:eastAsia="zh-CN"/>
        </w:rPr>
        <w:t>订单商品发货流程图</w:t>
      </w:r>
    </w:p>
    <w:p w14:paraId="6B759DB2">
      <w:pPr>
        <w:pStyle w:val="3"/>
        <w:bidi w:val="0"/>
        <w:ind w:left="575" w:leftChars="0" w:hanging="575" w:firstLineChars="0"/>
        <w:rPr>
          <w:rFonts w:hint="eastAsia" w:ascii="Arial" w:hAnsi="Arial" w:eastAsia="黑体" w:cstheme="minorBidi"/>
          <w:b/>
          <w:kern w:val="2"/>
          <w:sz w:val="32"/>
          <w:szCs w:val="24"/>
          <w:lang w:val="en-US" w:eastAsia="zh-CN" w:bidi="ar-SA"/>
        </w:rPr>
      </w:pPr>
      <w:bookmarkStart w:id="10" w:name="_Toc8624"/>
      <w:r>
        <w:rPr>
          <w:rFonts w:hint="eastAsia" w:cstheme="minorBidi"/>
          <w:b/>
          <w:kern w:val="2"/>
          <w:sz w:val="32"/>
          <w:szCs w:val="24"/>
          <w:lang w:val="en-US" w:eastAsia="zh-CN" w:bidi="ar-SA"/>
        </w:rPr>
        <w:t>订单月度结算</w:t>
      </w:r>
      <w:bookmarkEnd w:id="10"/>
    </w:p>
    <w:p w14:paraId="08F0BA26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平台以自然月作为统一结算周期，系统遵循先采购、先消耗核算规则，自动提取采龙煤集团物资管理系统（即NCC系统）内已完成收货确认的订单，以上月商品实际消耗数据作为依据进行月度结算。</w:t>
      </w:r>
    </w:p>
    <w:p w14:paraId="32C15F7E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平台生成结算合同并签署后由供应商在线查看并签署，供应商按结算金额开具增值税发票、缴纳发票金额相应的交易服务费并上传相关凭证，平台审核无误后按比例支付货款，剩余金额作为质保金暂扣挂账。</w:t>
      </w:r>
    </w:p>
    <w:p w14:paraId="430215BA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其中，质保金挂账满1年的，自期满次月起逐月按约定比例兑付剩余质保金，同时按要求上传支付凭证留存备查。</w:t>
      </w:r>
    </w:p>
    <w:p w14:paraId="084BD098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81295" cy="6344920"/>
            <wp:effectExtent l="0" t="0" r="6985" b="10160"/>
            <wp:docPr id="10" name="图片 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6" descr="IMG_25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81295" cy="63449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7EF0079">
      <w:pPr>
        <w:pStyle w:val="11"/>
        <w:jc w:val="center"/>
        <w:rPr>
          <w:rFonts w:hint="default" w:eastAsia="黑体"/>
          <w:lang w:val="en-US" w:eastAsia="zh-CN"/>
        </w:rPr>
      </w:pPr>
      <w:r>
        <w:t>图</w:t>
      </w:r>
      <w:r>
        <w:fldChar w:fldCharType="begin"/>
      </w:r>
      <w:r>
        <w:instrText xml:space="preserve"> STYLEREF 1 \s </w:instrText>
      </w:r>
      <w:r>
        <w:fldChar w:fldCharType="separate"/>
      </w:r>
      <w:r>
        <w:t>二</w:t>
      </w:r>
      <w:r>
        <w:fldChar w:fldCharType="end"/>
      </w:r>
      <w:r>
        <w:rPr>
          <w:rFonts w:hint="eastAsia"/>
          <w:lang w:eastAsia="zh-CN"/>
        </w:rPr>
        <w:t>-</w:t>
      </w:r>
      <w:r>
        <w:fldChar w:fldCharType="begin"/>
      </w:r>
      <w:r>
        <w:instrText xml:space="preserve"> SEQ 图 \* ARABIC \s 1 </w:instrText>
      </w:r>
      <w:r>
        <w:fldChar w:fldCharType="separate"/>
      </w:r>
      <w:r>
        <w:t>5</w:t>
      </w:r>
      <w:r>
        <w:fldChar w:fldCharType="end"/>
      </w:r>
      <w:r>
        <w:rPr>
          <w:rFonts w:hint="eastAsia"/>
          <w:lang w:val="en-US" w:eastAsia="zh-CN"/>
        </w:rPr>
        <w:t>订单月度结算流程图</w:t>
      </w:r>
    </w:p>
    <w:p w14:paraId="1EE3061B">
      <w:pPr>
        <w:pStyle w:val="3"/>
        <w:bidi w:val="0"/>
        <w:ind w:left="575" w:leftChars="0" w:hanging="575" w:firstLineChars="0"/>
        <w:rPr>
          <w:rFonts w:hint="eastAsia" w:ascii="Arial" w:hAnsi="Arial" w:eastAsia="黑体" w:cstheme="minorBidi"/>
          <w:b/>
          <w:kern w:val="2"/>
          <w:sz w:val="32"/>
          <w:szCs w:val="24"/>
          <w:lang w:val="en-US" w:eastAsia="zh-CN" w:bidi="ar-SA"/>
        </w:rPr>
      </w:pPr>
      <w:bookmarkStart w:id="11" w:name="_Toc16981"/>
      <w:r>
        <w:rPr>
          <w:rFonts w:hint="eastAsia" w:cstheme="minorBidi"/>
          <w:b/>
          <w:kern w:val="2"/>
          <w:sz w:val="32"/>
          <w:szCs w:val="24"/>
          <w:lang w:val="en-US" w:eastAsia="zh-CN" w:bidi="ar-SA"/>
        </w:rPr>
        <w:t>订单结转再交易</w:t>
      </w:r>
      <w:bookmarkEnd w:id="11"/>
    </w:p>
    <w:p w14:paraId="30A3883A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质保金挂账期满1年的，供应商可在系统提交订单结转申请，经龙煤宏泰资金会议审核通过后，由运营管理员将核定金额充值至供应商账户，该资金可用于平台内物流配送、贸易商城、自营商城等再交易场景。</w:t>
      </w:r>
    </w:p>
    <w:p w14:paraId="484F50A6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81295" cy="3556635"/>
            <wp:effectExtent l="0" t="0" r="6985" b="9525"/>
            <wp:docPr id="11" name="图片 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7" descr="IMG_25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81295" cy="35566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C4AF0EA">
      <w:pPr>
        <w:pStyle w:val="11"/>
        <w:jc w:val="center"/>
        <w:rPr>
          <w:rFonts w:hint="default" w:eastAsia="黑体"/>
          <w:lang w:val="en-US" w:eastAsia="zh-CN"/>
        </w:rPr>
      </w:pPr>
      <w:r>
        <w:t>图</w:t>
      </w:r>
      <w:r>
        <w:fldChar w:fldCharType="begin"/>
      </w:r>
      <w:r>
        <w:instrText xml:space="preserve"> STYLEREF 1 \s </w:instrText>
      </w:r>
      <w:r>
        <w:fldChar w:fldCharType="separate"/>
      </w:r>
      <w:r>
        <w:t>二</w:t>
      </w:r>
      <w:r>
        <w:fldChar w:fldCharType="end"/>
      </w:r>
      <w:r>
        <w:rPr>
          <w:rFonts w:hint="eastAsia"/>
          <w:lang w:eastAsia="zh-CN"/>
        </w:rPr>
        <w:t>-</w:t>
      </w:r>
      <w:r>
        <w:fldChar w:fldCharType="begin"/>
      </w:r>
      <w:r>
        <w:instrText xml:space="preserve"> SEQ 图 \* ARABIC \s 1 </w:instrText>
      </w:r>
      <w:r>
        <w:fldChar w:fldCharType="separate"/>
      </w:r>
      <w:r>
        <w:t>6</w:t>
      </w:r>
      <w:r>
        <w:fldChar w:fldCharType="end"/>
      </w:r>
      <w:r>
        <w:rPr>
          <w:rFonts w:hint="eastAsia"/>
          <w:lang w:val="en-US" w:eastAsia="zh-CN"/>
        </w:rPr>
        <w:t>订单结转再交易流程图</w:t>
      </w:r>
    </w:p>
    <w:p w14:paraId="678CF873">
      <w:pPr>
        <w:pStyle w:val="2"/>
        <w:bidi w:val="0"/>
        <w:ind w:left="432" w:leftChars="0" w:hanging="432" w:firstLineChars="0"/>
        <w:rPr>
          <w:rFonts w:hint="default"/>
          <w:lang w:val="en-US" w:eastAsia="zh-CN"/>
        </w:rPr>
      </w:pPr>
      <w:bookmarkStart w:id="12" w:name="_Toc26406"/>
      <w:r>
        <w:rPr>
          <w:rFonts w:hint="eastAsia"/>
          <w:lang w:val="en-US" w:eastAsia="zh-CN"/>
        </w:rPr>
        <w:t>系统登录</w:t>
      </w:r>
      <w:bookmarkEnd w:id="12"/>
    </w:p>
    <w:p w14:paraId="5FFD125F">
      <w:pPr>
        <w:pStyle w:val="3"/>
        <w:rPr>
          <w:rFonts w:hint="default"/>
          <w:lang w:val="en-US" w:eastAsia="zh-CN"/>
        </w:rPr>
      </w:pPr>
      <w:bookmarkStart w:id="13" w:name="_Toc31075"/>
      <w:r>
        <w:rPr>
          <w:rFonts w:hint="eastAsia"/>
          <w:lang w:val="en-US" w:eastAsia="zh-CN"/>
        </w:rPr>
        <w:t>登录系统</w:t>
      </w:r>
      <w:bookmarkEnd w:id="13"/>
    </w:p>
    <w:p w14:paraId="0A3BB3A4">
      <w:pPr>
        <w:pStyle w:val="1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在浏览器地址栏输入平台官方网址，打开龙煤宏泰电商平台-汇采商城供应商登录页面，输入用户名、密码及验证码，点击【登录】按钮，即可进入供应商管理中心。</w:t>
      </w:r>
    </w:p>
    <w:p w14:paraId="6AC638DF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首次登录或账号已过有效期的用户，登录后将自动进入实名认证流程，完成实名认证并审核通过后，方可正常登录并进入供应商管理中心开展业务操作。</w:t>
      </w:r>
    </w:p>
    <w:p w14:paraId="24997460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default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温馨提示：首次登录后建议及时修改初始登录密码，保障账号使用安全。</w:t>
      </w:r>
    </w:p>
    <w:p w14:paraId="245C7F36">
      <w:pPr>
        <w:pStyle w:val="3"/>
        <w:rPr>
          <w:rFonts w:hint="default"/>
          <w:lang w:val="en-US" w:eastAsia="zh-CN"/>
        </w:rPr>
      </w:pPr>
      <w:bookmarkStart w:id="14" w:name="_Toc16847"/>
      <w:r>
        <w:rPr>
          <w:rFonts w:hint="eastAsia"/>
          <w:lang w:val="en-US" w:eastAsia="zh-CN"/>
        </w:rPr>
        <w:t>系统首页</w:t>
      </w:r>
      <w:bookmarkEnd w:id="14"/>
    </w:p>
    <w:p w14:paraId="1FA8F054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供应商登录成功后，进入</w:t>
      </w:r>
      <w:r>
        <w:rPr>
          <w:rFonts w:hint="eastAsia"/>
          <w:lang w:val="en-US" w:eastAsia="zh-CN"/>
        </w:rPr>
        <w:t>汇采商城</w:t>
      </w:r>
      <w:r>
        <w:rPr>
          <w:rFonts w:hint="eastAsia" w:eastAsia="宋体"/>
          <w:lang w:val="en-US" w:eastAsia="zh-CN"/>
        </w:rPr>
        <w:t>供应商管理中心首页（起始页）。首页为供应商提供一站式业务入口，集中展示消息公告、数据概览、待办事与快捷功能，方便快速处理业务、查看核心信息，提升操作效率。</w:t>
      </w:r>
    </w:p>
    <w:p w14:paraId="6AD79A3C">
      <w:pPr>
        <w:numPr>
          <w:ilvl w:val="0"/>
          <w:numId w:val="6"/>
        </w:numPr>
        <w:ind w:left="0" w:leftChars="0" w:firstLine="420" w:firstLineChars="2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公告通知</w:t>
      </w:r>
    </w:p>
    <w:p w14:paraId="69EB4232">
      <w:pPr>
        <w:pStyle w:val="12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展示平台发布的最新公告、运营通知、系统维护提醒等，确保供应商及时获取官方信息。</w:t>
      </w:r>
    </w:p>
    <w:p w14:paraId="278679BF">
      <w:pPr>
        <w:numPr>
          <w:ilvl w:val="0"/>
          <w:numId w:val="6"/>
        </w:numPr>
        <w:ind w:left="0" w:leftChars="0" w:firstLine="420" w:firstLineChars="2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数据概览</w:t>
      </w:r>
    </w:p>
    <w:p w14:paraId="2C4471F2">
      <w:pPr>
        <w:pStyle w:val="12"/>
        <w:ind w:firstLine="560"/>
        <w:rPr>
          <w:rFonts w:hint="default" w:eastAsia="宋体"/>
          <w:lang w:val="en-US" w:eastAsia="zh-CN"/>
        </w:rPr>
      </w:pPr>
      <w:r>
        <w:rPr>
          <w:rFonts w:hint="default" w:eastAsia="宋体"/>
          <w:lang w:val="en-US" w:eastAsia="zh-CN"/>
        </w:rPr>
        <w:t>直观数字形式展示供应商核心业务</w:t>
      </w:r>
      <w:r>
        <w:rPr>
          <w:rFonts w:hint="eastAsia" w:eastAsia="宋体"/>
          <w:lang w:val="en-US" w:eastAsia="zh-CN"/>
        </w:rPr>
        <w:t>与资金</w:t>
      </w:r>
      <w:r>
        <w:rPr>
          <w:rFonts w:hint="default" w:eastAsia="宋体"/>
          <w:lang w:val="en-US" w:eastAsia="zh-CN"/>
        </w:rPr>
        <w:t>数据，包括订单金额、应收金额、订单结转金额、质保金应付金额，方便企业实时掌握经营与资金状况，提升业务管理效率</w:t>
      </w:r>
    </w:p>
    <w:p w14:paraId="2183F358">
      <w:pPr>
        <w:pStyle w:val="12"/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20" w:firstLineChars="200"/>
        <w:textAlignment w:val="auto"/>
        <w:rPr>
          <w:rFonts w:hint="default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订单金额：展示供应商在平台内所有交易订单的累计总金额。</w:t>
      </w:r>
    </w:p>
    <w:p w14:paraId="34B94EB0">
      <w:pPr>
        <w:pStyle w:val="12"/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20" w:firstLineChars="200"/>
        <w:textAlignment w:val="auto"/>
        <w:rPr>
          <w:rFonts w:hint="default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应收金额：展示已完成收货、尚未完成月度结算的订单金额。</w:t>
      </w:r>
    </w:p>
    <w:p w14:paraId="6E30FE06">
      <w:pPr>
        <w:pStyle w:val="12"/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20" w:firstLineChars="200"/>
        <w:textAlignment w:val="auto"/>
        <w:rPr>
          <w:rFonts w:hint="default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订单结转金额：展示质保金结转审核通过后、平台内剩余可使用的结转资金额度。</w:t>
      </w:r>
    </w:p>
    <w:p w14:paraId="3E4E9136">
      <w:pPr>
        <w:pStyle w:val="12"/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 w:eastAsia="宋体"/>
          <w:lang w:val="en-US" w:eastAsia="zh-CN"/>
        </w:rPr>
        <w:t>质保金应付金额：展示已暂扣但尚未到期支付的质保金挂账余额。</w:t>
      </w:r>
    </w:p>
    <w:p w14:paraId="251EE13A">
      <w:pPr>
        <w:numPr>
          <w:ilvl w:val="0"/>
          <w:numId w:val="6"/>
        </w:numPr>
        <w:ind w:left="0" w:leftChars="0" w:firstLine="420" w:firstLineChars="2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核心快捷操作</w:t>
      </w:r>
    </w:p>
    <w:p w14:paraId="07ADDC85">
      <w:pPr>
        <w:pStyle w:val="1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供应商日常业务核心快捷操作区，按业务类型分为待处理、商品、订单三大模块，以卡片式直观展示各业务节点状态与待办数量，点击任意卡片可直接进入对应功能列表页面，实现一键直达、快速处理。</w:t>
      </w:r>
    </w:p>
    <w:p w14:paraId="22033934">
      <w:pPr>
        <w:pStyle w:val="12"/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20" w:firstLineChars="200"/>
        <w:textAlignment w:val="auto"/>
        <w:rPr>
          <w:rFonts w:hint="default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待处理：集中展示当前需紧急办理的业务事项，包括待审核商品、待签署框架合同、待签署结算合同、待开发票等提醒，点击卡片直接进入对应菜单页面，避免遗漏关键流程。</w:t>
      </w:r>
    </w:p>
    <w:p w14:paraId="0D7FD7CD">
      <w:pPr>
        <w:pStyle w:val="12"/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20" w:firstLineChars="200"/>
        <w:textAlignment w:val="auto"/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商品：展示商品全生命周期状态数据，包含审核通过、审核未通过、库存警告、已下架等状态统计，点击卡片进入商品列表，可快速进行编辑、提交审核、重新上架等操作。</w:t>
      </w:r>
    </w:p>
    <w:p w14:paraId="28F4E164">
      <w:pPr>
        <w:pStyle w:val="12"/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20" w:firstLineChars="200"/>
        <w:textAlignment w:val="auto"/>
        <w:rPr>
          <w:rFonts w:hint="default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订单：展示采购订单全流程状态数据，包括待发货、待收货、待签署结算合同、待开发票、待支付、已成交等订单与明细状态，点击卡片进入订单列表，可直接执行发货、查看详情、上传凭证等操作。</w:t>
      </w:r>
    </w:p>
    <w:p w14:paraId="5895C2F0">
      <w:pPr>
        <w:pStyle w:val="2"/>
        <w:bidi w:val="0"/>
        <w:ind w:left="432" w:leftChars="0" w:hanging="432" w:firstLineChars="0"/>
        <w:rPr>
          <w:rFonts w:hint="default"/>
          <w:lang w:val="en-US" w:eastAsia="zh-CN"/>
        </w:rPr>
      </w:pPr>
      <w:bookmarkStart w:id="15" w:name="_Toc10126"/>
      <w:r>
        <w:rPr>
          <w:rFonts w:hint="eastAsia"/>
          <w:lang w:val="en-US" w:eastAsia="zh-CN"/>
        </w:rPr>
        <w:t>合同管理</w:t>
      </w:r>
      <w:bookmarkEnd w:id="15"/>
    </w:p>
    <w:p w14:paraId="48470280">
      <w:pPr>
        <w:pStyle w:val="12"/>
        <w:ind w:firstLine="560"/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合同管理主要为供应商提供框架采购合同全生命周期线上管理功能，支持供应商用户进行信息查看、进度查询、详情浏览、文件下载及线下签署等操作，是开展商品上架、订单履约、月度结算开票的核心依据。</w:t>
      </w:r>
    </w:p>
    <w:p w14:paraId="1DD2B411">
      <w:pPr>
        <w:pStyle w:val="3"/>
        <w:bidi w:val="0"/>
        <w:ind w:left="575" w:leftChars="0" w:hanging="575" w:firstLineChars="0"/>
        <w:rPr>
          <w:rFonts w:hint="default"/>
          <w:lang w:val="en-US" w:eastAsia="zh-CN"/>
        </w:rPr>
      </w:pPr>
      <w:bookmarkStart w:id="16" w:name="_Toc17402"/>
      <w:r>
        <w:rPr>
          <w:rFonts w:hint="eastAsia"/>
          <w:lang w:val="en-US" w:eastAsia="zh-CN"/>
        </w:rPr>
        <w:t>合同信息查看</w:t>
      </w:r>
      <w:bookmarkEnd w:id="16"/>
    </w:p>
    <w:p w14:paraId="021D1C9B">
      <w:pPr>
        <w:pStyle w:val="1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供应商登录系统后，进入合同管理-合同列表界面，系统直观展示当前供应商名下所有框架合同，包含中标时间、标段编码、合同签约主体企业名称（黑龙江龙煤宏泰国际贸易有限公司）、中标商品名称、规格、商品价格、有效期限、合同状态等关键信息，支持快速检索与状态筛选。</w:t>
      </w:r>
    </w:p>
    <w:p w14:paraId="7026F8FA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合同详情</w:t>
      </w:r>
    </w:p>
    <w:p w14:paraId="1A2089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选择目标合同，点击【合同详情】文字链接按钮，进入合同详情界面，展示以下信息：</w:t>
      </w:r>
    </w:p>
    <w:p w14:paraId="117B2BF8">
      <w:pPr>
        <w:pStyle w:val="12"/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20" w:firstLineChars="200"/>
        <w:textAlignment w:val="auto"/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基础信息：招标编号、中标时间、招标单位（黑龙江龙煤宏泰国际贸易有限公司）、标签、合同状态、中标单位、合同有效期限；</w:t>
      </w:r>
    </w:p>
    <w:p w14:paraId="0E83BBAF">
      <w:pPr>
        <w:pStyle w:val="12"/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20" w:firstLineChars="200"/>
        <w:textAlignment w:val="auto"/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中标商品信息：商品编码、商品名称、规格、</w:t>
      </w:r>
      <w:r>
        <w:rPr>
          <w:rFonts w:hint="eastAsia"/>
          <w:lang w:val="en-US" w:eastAsia="zh-CN"/>
        </w:rPr>
        <w:t>计量单位、</w:t>
      </w:r>
      <w:r>
        <w:rPr>
          <w:rFonts w:hint="eastAsia" w:eastAsia="宋体"/>
          <w:lang w:val="en-US" w:eastAsia="zh-CN"/>
        </w:rPr>
        <w:t>价格等；</w:t>
      </w:r>
    </w:p>
    <w:p w14:paraId="758600C7">
      <w:pPr>
        <w:pStyle w:val="12"/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20" w:firstLineChars="200"/>
        <w:textAlignment w:val="auto"/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合同签署信息：</w:t>
      </w:r>
      <w:r>
        <w:rPr>
          <w:rFonts w:hint="eastAsia"/>
          <w:lang w:val="en-US" w:eastAsia="zh-CN"/>
        </w:rPr>
        <w:t>买房名称</w:t>
      </w:r>
      <w:r>
        <w:rPr>
          <w:rFonts w:hint="eastAsia" w:eastAsia="宋体"/>
          <w:lang w:val="en-US" w:eastAsia="zh-CN"/>
        </w:rPr>
        <w:t>（黑龙江龙煤宏泰国际贸易有限公司）、合同模版、</w:t>
      </w:r>
      <w:r>
        <w:rPr>
          <w:rFonts w:hint="eastAsia"/>
          <w:lang w:val="en-US" w:eastAsia="zh-CN"/>
        </w:rPr>
        <w:t>起购数量、生产周期、合同文件</w:t>
      </w:r>
      <w:r>
        <w:rPr>
          <w:rFonts w:hint="eastAsia" w:eastAsia="宋体"/>
          <w:lang w:val="en-US" w:eastAsia="zh-CN"/>
        </w:rPr>
        <w:t>等。</w:t>
      </w:r>
    </w:p>
    <w:p w14:paraId="5266641A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签署进度</w:t>
      </w:r>
    </w:p>
    <w:p w14:paraId="2288E6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通过合同当前状态，实时展示平台方与供应商方的签署进度，明确待签节点，提醒供应商及时完成签署，避免影响后续业务开展。</w:t>
      </w:r>
    </w:p>
    <w:p w14:paraId="2A9CD0F1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合同全文</w:t>
      </w:r>
    </w:p>
    <w:p w14:paraId="068D99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选择目标合同，点击【下载图标】按钮，可将完整合同文件下载至本地。文件包含履约条款、结算方式、质保金规则、服务标准、双方权责等全部内容，作为业务开展与合规依据。</w:t>
      </w:r>
    </w:p>
    <w:p w14:paraId="03B140E3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合同状态</w:t>
      </w:r>
    </w:p>
    <w:p w14:paraId="2FADA696">
      <w:pPr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未签署：同步中间库中标信息，生成框架合同时初始状态值；</w:t>
      </w:r>
    </w:p>
    <w:p w14:paraId="63B264DE">
      <w:pPr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待平台签署：等待平台运营管理端用户签署合；</w:t>
      </w:r>
    </w:p>
    <w:p w14:paraId="411878A0">
      <w:pPr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待签署：平台运营管理端签署完成后，待供应商端签署；</w:t>
      </w:r>
    </w:p>
    <w:p w14:paraId="5C17985F">
      <w:pPr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已签署生效：双方均完成合同签署时状态值；</w:t>
      </w:r>
    </w:p>
    <w:p w14:paraId="5B5C7615">
      <w:pPr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已到期：框架合同到期状态值自动更新为已到期，该框架合同下商品下架。</w:t>
      </w:r>
    </w:p>
    <w:p w14:paraId="0209EE05">
      <w:pPr>
        <w:pStyle w:val="3"/>
        <w:bidi w:val="0"/>
        <w:ind w:left="575" w:leftChars="0" w:hanging="575" w:firstLineChars="0"/>
        <w:rPr>
          <w:rFonts w:hint="default"/>
          <w:lang w:val="en-US" w:eastAsia="zh-CN"/>
        </w:rPr>
      </w:pPr>
      <w:bookmarkStart w:id="17" w:name="_Toc9648"/>
      <w:r>
        <w:rPr>
          <w:rFonts w:hint="eastAsia"/>
          <w:lang w:val="en-US" w:eastAsia="zh-CN"/>
        </w:rPr>
        <w:t>合同签署</w:t>
      </w:r>
      <w:bookmarkEnd w:id="17"/>
    </w:p>
    <w:p w14:paraId="61A790E0">
      <w:pPr>
        <w:pStyle w:val="12"/>
        <w:ind w:firstLine="560"/>
        <w:rPr>
          <w:rFonts w:hint="default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供应商登录系统后，进入合同管理-合同列表界面，选择目标合同，点击【签署合同】按钮进入合同签署快捷界面，</w:t>
      </w:r>
      <w:r>
        <w:rPr>
          <w:rFonts w:hint="eastAsia"/>
          <w:lang w:val="en-US" w:eastAsia="zh-CN"/>
        </w:rPr>
        <w:t>查看并核对合同信息、中标商品信息，点击【签章】按钮，查看框架采购合同条款，核对无误后签章，</w:t>
      </w:r>
      <w:r>
        <w:rPr>
          <w:rFonts w:hint="eastAsia" w:eastAsia="宋体"/>
          <w:lang w:val="en-US" w:eastAsia="zh-CN"/>
        </w:rPr>
        <w:t>即完成框架合同签署。</w:t>
      </w:r>
    </w:p>
    <w:p w14:paraId="50AC619B">
      <w:pPr>
        <w:pStyle w:val="12"/>
        <w:ind w:firstLine="560"/>
        <w:rPr>
          <w:rFonts w:hint="eastAsia"/>
          <w:lang w:val="en-US" w:eastAsia="zh-CN"/>
        </w:rPr>
      </w:pPr>
      <w:r>
        <w:rPr>
          <w:rFonts w:hint="eastAsia" w:eastAsia="宋体"/>
          <w:lang w:val="en-US" w:eastAsia="zh-CN"/>
        </w:rPr>
        <w:t>合同签</w:t>
      </w:r>
      <w:r>
        <w:rPr>
          <w:rFonts w:hint="eastAsia"/>
          <w:lang w:val="en-US" w:eastAsia="zh-CN"/>
        </w:rPr>
        <w:t>署完成后即时生效，系统自动归档留存，作为供应商商品上架、采购履约、月度结算、货款支付的唯一合法依据。</w:t>
      </w:r>
    </w:p>
    <w:p w14:paraId="136CD469">
      <w:pPr>
        <w:pStyle w:val="2"/>
        <w:bidi w:val="0"/>
        <w:ind w:left="432" w:leftChars="0" w:hanging="432" w:firstLineChars="0"/>
        <w:rPr>
          <w:rFonts w:hint="default"/>
          <w:lang w:val="en-US" w:eastAsia="zh-CN"/>
        </w:rPr>
      </w:pPr>
      <w:bookmarkStart w:id="18" w:name="_Toc15310"/>
      <w:r>
        <w:rPr>
          <w:rFonts w:hint="eastAsia"/>
          <w:lang w:val="en-US" w:eastAsia="zh-CN"/>
        </w:rPr>
        <w:t>商品管理</w:t>
      </w:r>
      <w:bookmarkEnd w:id="18"/>
    </w:p>
    <w:p w14:paraId="54092ECF">
      <w:pPr>
        <w:pStyle w:val="12"/>
        <w:ind w:firstLine="560"/>
        <w:rPr>
          <w:rFonts w:hint="default" w:eastAsia="宋体"/>
          <w:lang w:val="en-US" w:eastAsia="zh-CN"/>
        </w:rPr>
      </w:pPr>
      <w:r>
        <w:rPr>
          <w:rFonts w:hint="default" w:eastAsia="宋体"/>
          <w:lang w:val="en-US" w:eastAsia="zh-CN"/>
        </w:rPr>
        <w:t>商品管理用于供应商对中标商品进行信息完善、提交审核、状态查询及管理</w:t>
      </w:r>
      <w:r>
        <w:rPr>
          <w:rFonts w:hint="eastAsia"/>
          <w:lang w:val="en-US" w:eastAsia="zh-CN"/>
        </w:rPr>
        <w:t>功能。供应商需先完成框架合同签署，方可编辑商品相关信息。</w:t>
      </w:r>
      <w:r>
        <w:rPr>
          <w:rFonts w:hint="default" w:eastAsia="宋体"/>
          <w:lang w:val="en-US" w:eastAsia="zh-CN"/>
        </w:rPr>
        <w:t>所有商品必须与框架合同、中标信息保持一致，审核通过后方可上架</w:t>
      </w:r>
      <w:r>
        <w:rPr>
          <w:rFonts w:hint="eastAsia"/>
          <w:lang w:val="en-US" w:eastAsia="zh-CN"/>
        </w:rPr>
        <w:t>汇采商城</w:t>
      </w:r>
      <w:r>
        <w:rPr>
          <w:rFonts w:hint="default" w:eastAsia="宋体"/>
          <w:lang w:val="en-US" w:eastAsia="zh-CN"/>
        </w:rPr>
        <w:t>，面向</w:t>
      </w:r>
      <w:r>
        <w:rPr>
          <w:rFonts w:hint="eastAsia" w:eastAsia="宋体"/>
          <w:lang w:val="en-US" w:eastAsia="zh-CN"/>
        </w:rPr>
        <w:t>采购商</w:t>
      </w:r>
      <w:r>
        <w:rPr>
          <w:rFonts w:hint="default" w:eastAsia="宋体"/>
          <w:lang w:val="en-US" w:eastAsia="zh-CN"/>
        </w:rPr>
        <w:t>开展采购交易。</w:t>
      </w:r>
    </w:p>
    <w:p w14:paraId="10C16968">
      <w:pPr>
        <w:pStyle w:val="3"/>
        <w:bidi w:val="0"/>
        <w:ind w:left="575" w:leftChars="0" w:hanging="575" w:firstLineChars="0"/>
        <w:rPr>
          <w:rFonts w:hint="default"/>
          <w:lang w:val="en-US" w:eastAsia="zh-CN"/>
        </w:rPr>
      </w:pPr>
      <w:bookmarkStart w:id="19" w:name="_Toc26400"/>
      <w:r>
        <w:rPr>
          <w:rFonts w:hint="default"/>
          <w:lang w:val="en-US" w:eastAsia="zh-CN"/>
        </w:rPr>
        <w:t>商品</w:t>
      </w:r>
      <w:r>
        <w:rPr>
          <w:rFonts w:hint="eastAsia"/>
          <w:lang w:val="en-US" w:eastAsia="zh-CN"/>
        </w:rPr>
        <w:t>信息</w:t>
      </w:r>
      <w:r>
        <w:rPr>
          <w:rFonts w:hint="default"/>
          <w:lang w:val="en-US" w:eastAsia="zh-CN"/>
        </w:rPr>
        <w:t>查看</w:t>
      </w:r>
      <w:bookmarkEnd w:id="19"/>
    </w:p>
    <w:p w14:paraId="23E8BE16">
      <w:pPr>
        <w:pStyle w:val="12"/>
        <w:ind w:firstLine="560"/>
        <w:rPr>
          <w:rFonts w:hint="default" w:eastAsia="宋体"/>
          <w:lang w:val="en-US" w:eastAsia="zh-CN"/>
        </w:rPr>
      </w:pPr>
      <w:r>
        <w:rPr>
          <w:rFonts w:hint="default" w:eastAsia="宋体"/>
          <w:lang w:val="en-US" w:eastAsia="zh-CN"/>
        </w:rPr>
        <w:t>供应商登录系统后，进入商品管理</w:t>
      </w:r>
      <w:r>
        <w:rPr>
          <w:rFonts w:hint="eastAsia" w:eastAsia="宋体"/>
          <w:lang w:val="en-US" w:eastAsia="zh-CN"/>
        </w:rPr>
        <w:t>-</w:t>
      </w:r>
      <w:r>
        <w:rPr>
          <w:rFonts w:hint="default" w:eastAsia="宋体"/>
          <w:lang w:val="en-US" w:eastAsia="zh-CN"/>
        </w:rPr>
        <w:t>商品列表界面，系统通过接口自动同步中标商品基础信息，展示商品编码、商品名称、规格、</w:t>
      </w:r>
      <w:r>
        <w:rPr>
          <w:rFonts w:hint="eastAsia" w:eastAsia="宋体"/>
          <w:lang w:val="en-US" w:eastAsia="zh-CN"/>
        </w:rPr>
        <w:t>商品</w:t>
      </w:r>
      <w:r>
        <w:rPr>
          <w:rFonts w:hint="default" w:eastAsia="宋体"/>
          <w:lang w:val="en-US" w:eastAsia="zh-CN"/>
        </w:rPr>
        <w:t>价格</w:t>
      </w:r>
      <w:r>
        <w:rPr>
          <w:rFonts w:hint="eastAsia" w:eastAsia="宋体"/>
          <w:lang w:val="en-US" w:eastAsia="zh-CN"/>
        </w:rPr>
        <w:t>（中标价格）</w:t>
      </w:r>
      <w:r>
        <w:rPr>
          <w:rFonts w:hint="default" w:eastAsia="宋体"/>
          <w:lang w:val="en-US" w:eastAsia="zh-CN"/>
        </w:rPr>
        <w:t>、</w:t>
      </w:r>
      <w:r>
        <w:rPr>
          <w:rFonts w:hint="eastAsia" w:eastAsia="宋体"/>
          <w:lang w:val="en-US" w:eastAsia="zh-CN"/>
        </w:rPr>
        <w:t>库存</w:t>
      </w:r>
      <w:r>
        <w:rPr>
          <w:rFonts w:hint="default" w:eastAsia="宋体"/>
          <w:lang w:val="en-US" w:eastAsia="zh-CN"/>
        </w:rPr>
        <w:t>、商品状态</w:t>
      </w:r>
      <w:r>
        <w:rPr>
          <w:rFonts w:hint="eastAsia" w:eastAsia="宋体"/>
          <w:lang w:val="en-US" w:eastAsia="zh-CN"/>
        </w:rPr>
        <w:t>、标签</w:t>
      </w:r>
      <w:r>
        <w:rPr>
          <w:rFonts w:hint="default" w:eastAsia="宋体"/>
          <w:lang w:val="en-US" w:eastAsia="zh-CN"/>
        </w:rPr>
        <w:t>等关键信息。</w:t>
      </w:r>
    </w:p>
    <w:p w14:paraId="04B06D9A">
      <w:pPr>
        <w:numPr>
          <w:ilvl w:val="0"/>
          <w:numId w:val="10"/>
        </w:numPr>
        <w:ind w:left="0" w:leftChars="0" w:firstLine="420" w:firstLineChars="2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商品信息</w:t>
      </w:r>
    </w:p>
    <w:p w14:paraId="24429593">
      <w:pPr>
        <w:pStyle w:val="1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选择目标商品，点击【查看图标】按钮进入汇采商城商品详情页面，查看商品详情信息。</w:t>
      </w:r>
    </w:p>
    <w:p w14:paraId="301ACE65">
      <w:pPr>
        <w:numPr>
          <w:ilvl w:val="0"/>
          <w:numId w:val="10"/>
        </w:numPr>
        <w:ind w:left="0" w:leftChars="0" w:firstLine="420" w:firstLineChars="2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商品状态</w:t>
      </w:r>
    </w:p>
    <w:p w14:paraId="342D58C3">
      <w:pPr>
        <w:pStyle w:val="12"/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t>商品列表实时展示商品当前审核与使用状态，供应商可实时跟踪</w:t>
      </w:r>
      <w:r>
        <w:rPr>
          <w:rFonts w:hint="eastAsia"/>
          <w:lang w:val="en-US" w:eastAsia="zh-CN"/>
        </w:rPr>
        <w:t>：</w:t>
      </w:r>
    </w:p>
    <w:p w14:paraId="0C61C201">
      <w:pPr>
        <w:pStyle w:val="12"/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20" w:firstLineChars="200"/>
        <w:textAlignment w:val="auto"/>
        <w:rPr>
          <w:rFonts w:hint="default" w:eastAsia="宋体"/>
          <w:lang w:val="en-US" w:eastAsia="zh-CN"/>
        </w:rPr>
      </w:pPr>
      <w:r>
        <w:rPr>
          <w:rFonts w:hint="default" w:eastAsia="宋体"/>
          <w:lang w:val="en-US" w:eastAsia="zh-CN"/>
        </w:rPr>
        <w:t>待完善</w:t>
      </w:r>
      <w:r>
        <w:rPr>
          <w:rFonts w:hint="eastAsia" w:eastAsia="宋体"/>
          <w:lang w:val="en-US" w:eastAsia="zh-CN"/>
        </w:rPr>
        <w:t>：</w:t>
      </w:r>
      <w:r>
        <w:rPr>
          <w:rFonts w:hint="default" w:eastAsia="宋体"/>
          <w:lang w:val="en-US" w:eastAsia="zh-CN"/>
        </w:rPr>
        <w:t>同步中间库中标信息，生成商品时初始状态值</w:t>
      </w:r>
      <w:r>
        <w:rPr>
          <w:rFonts w:hint="eastAsia"/>
          <w:lang w:val="en-US" w:eastAsia="zh-CN"/>
        </w:rPr>
        <w:t>；</w:t>
      </w:r>
    </w:p>
    <w:p w14:paraId="3E07FF21">
      <w:pPr>
        <w:pStyle w:val="12"/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20" w:firstLineChars="200"/>
        <w:textAlignment w:val="auto"/>
        <w:rPr>
          <w:rFonts w:hint="default" w:eastAsia="宋体"/>
          <w:lang w:val="en-US" w:eastAsia="zh-CN"/>
        </w:rPr>
      </w:pPr>
      <w:r>
        <w:rPr>
          <w:rFonts w:hint="default" w:eastAsia="宋体"/>
          <w:lang w:val="en-US" w:eastAsia="zh-CN"/>
        </w:rPr>
        <w:t>待审核</w:t>
      </w:r>
      <w:r>
        <w:rPr>
          <w:rFonts w:hint="eastAsia" w:eastAsia="宋体"/>
          <w:lang w:val="en-US" w:eastAsia="zh-CN"/>
        </w:rPr>
        <w:t>：</w:t>
      </w:r>
      <w:r>
        <w:rPr>
          <w:rFonts w:hint="default" w:eastAsia="宋体"/>
          <w:lang w:val="en-US" w:eastAsia="zh-CN"/>
        </w:rPr>
        <w:t>供应商完善商品信息提交平台，等待平台运营管理人员审核时状态值</w:t>
      </w:r>
      <w:r>
        <w:rPr>
          <w:rFonts w:hint="eastAsia"/>
          <w:lang w:val="en-US" w:eastAsia="zh-CN"/>
        </w:rPr>
        <w:t>；</w:t>
      </w:r>
    </w:p>
    <w:p w14:paraId="55C61151">
      <w:pPr>
        <w:pStyle w:val="12"/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20" w:firstLineChars="200"/>
        <w:textAlignment w:val="auto"/>
        <w:rPr>
          <w:rFonts w:hint="default" w:eastAsia="宋体"/>
          <w:lang w:val="en-US" w:eastAsia="zh-CN"/>
        </w:rPr>
      </w:pPr>
      <w:r>
        <w:rPr>
          <w:rFonts w:hint="default" w:eastAsia="宋体"/>
          <w:lang w:val="en-US" w:eastAsia="zh-CN"/>
        </w:rPr>
        <w:t>审核通过</w:t>
      </w:r>
      <w:r>
        <w:rPr>
          <w:rFonts w:hint="eastAsia" w:eastAsia="宋体"/>
          <w:lang w:val="en-US" w:eastAsia="zh-CN"/>
        </w:rPr>
        <w:t>：</w:t>
      </w:r>
      <w:r>
        <w:rPr>
          <w:rFonts w:hint="default" w:eastAsia="宋体"/>
          <w:lang w:val="en-US" w:eastAsia="zh-CN"/>
        </w:rPr>
        <w:t>商品信息审核合格，正式上架商城</w:t>
      </w:r>
      <w:r>
        <w:rPr>
          <w:rFonts w:hint="eastAsia"/>
          <w:lang w:val="en-US" w:eastAsia="zh-CN"/>
        </w:rPr>
        <w:t>；</w:t>
      </w:r>
    </w:p>
    <w:p w14:paraId="7C80D735">
      <w:pPr>
        <w:pStyle w:val="12"/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20" w:firstLineChars="200"/>
        <w:textAlignment w:val="auto"/>
        <w:rPr>
          <w:rFonts w:hint="default" w:eastAsia="宋体"/>
          <w:lang w:val="en-US" w:eastAsia="zh-CN"/>
        </w:rPr>
      </w:pPr>
      <w:r>
        <w:rPr>
          <w:rFonts w:hint="default" w:eastAsia="宋体"/>
          <w:lang w:val="en-US" w:eastAsia="zh-CN"/>
        </w:rPr>
        <w:t>审核未通过</w:t>
      </w:r>
      <w:r>
        <w:rPr>
          <w:rFonts w:hint="eastAsia" w:eastAsia="宋体"/>
          <w:lang w:val="en-US" w:eastAsia="zh-CN"/>
        </w:rPr>
        <w:t>：</w:t>
      </w:r>
      <w:r>
        <w:rPr>
          <w:rFonts w:hint="default" w:eastAsia="宋体"/>
          <w:lang w:val="en-US" w:eastAsia="zh-CN"/>
        </w:rPr>
        <w:t>商品信息不符合要求，可查看驳回原因并修改后重新提交</w:t>
      </w:r>
      <w:r>
        <w:rPr>
          <w:rFonts w:hint="eastAsia"/>
          <w:lang w:val="en-US" w:eastAsia="zh-CN"/>
        </w:rPr>
        <w:t>；</w:t>
      </w:r>
    </w:p>
    <w:p w14:paraId="05315AFA">
      <w:pPr>
        <w:pStyle w:val="12"/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20" w:firstLineChars="200"/>
        <w:textAlignment w:val="auto"/>
        <w:rPr>
          <w:rFonts w:hint="default" w:eastAsia="宋体"/>
          <w:lang w:val="en-US" w:eastAsia="zh-CN"/>
        </w:rPr>
      </w:pPr>
      <w:r>
        <w:rPr>
          <w:rFonts w:hint="default" w:eastAsia="宋体"/>
          <w:lang w:val="en-US" w:eastAsia="zh-CN"/>
        </w:rPr>
        <w:t>已下架</w:t>
      </w:r>
      <w:r>
        <w:rPr>
          <w:rFonts w:hint="eastAsia" w:eastAsia="宋体"/>
          <w:lang w:val="en-US" w:eastAsia="zh-CN"/>
        </w:rPr>
        <w:t>：</w:t>
      </w:r>
      <w:r>
        <w:rPr>
          <w:rFonts w:hint="default" w:eastAsia="宋体"/>
          <w:lang w:val="en-US" w:eastAsia="zh-CN"/>
        </w:rPr>
        <w:t>商品因到期、违规或业务调整停止销售下架商品</w:t>
      </w:r>
      <w:r>
        <w:rPr>
          <w:rFonts w:hint="eastAsia"/>
          <w:lang w:val="en-US" w:eastAsia="zh-CN"/>
        </w:rPr>
        <w:t>；</w:t>
      </w:r>
    </w:p>
    <w:p w14:paraId="62C366F2">
      <w:pPr>
        <w:pStyle w:val="12"/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20" w:firstLineChars="200"/>
        <w:textAlignment w:val="auto"/>
        <w:rPr>
          <w:rFonts w:hint="default" w:eastAsia="宋体"/>
          <w:lang w:val="en-US" w:eastAsia="zh-CN"/>
        </w:rPr>
      </w:pPr>
      <w:r>
        <w:rPr>
          <w:rFonts w:hint="default" w:eastAsia="宋体"/>
          <w:lang w:val="en-US" w:eastAsia="zh-CN"/>
        </w:rPr>
        <w:t>库存警告</w:t>
      </w:r>
      <w:r>
        <w:rPr>
          <w:rFonts w:hint="eastAsia" w:eastAsia="宋体"/>
          <w:lang w:val="en-US" w:eastAsia="zh-CN"/>
        </w:rPr>
        <w:t>：</w:t>
      </w:r>
      <w:r>
        <w:rPr>
          <w:rFonts w:hint="default" w:eastAsia="宋体"/>
          <w:lang w:val="en-US" w:eastAsia="zh-CN"/>
        </w:rPr>
        <w:t>商品库存不足，需及时补充或更新库存信息</w:t>
      </w:r>
      <w:r>
        <w:rPr>
          <w:rFonts w:hint="eastAsia"/>
          <w:lang w:val="en-US" w:eastAsia="zh-CN"/>
        </w:rPr>
        <w:t>。</w:t>
      </w:r>
    </w:p>
    <w:p w14:paraId="7DFD22A4">
      <w:pPr>
        <w:pStyle w:val="3"/>
        <w:bidi w:val="0"/>
        <w:ind w:left="575" w:leftChars="0" w:hanging="575" w:firstLineChars="0"/>
        <w:rPr>
          <w:rFonts w:hint="default"/>
          <w:lang w:val="en-US" w:eastAsia="zh-CN"/>
        </w:rPr>
      </w:pPr>
      <w:bookmarkStart w:id="20" w:name="_Toc32213"/>
      <w:r>
        <w:rPr>
          <w:rFonts w:hint="default"/>
          <w:lang w:val="en-US" w:eastAsia="zh-CN"/>
        </w:rPr>
        <w:t>商品</w:t>
      </w:r>
      <w:r>
        <w:rPr>
          <w:rFonts w:hint="eastAsia"/>
          <w:lang w:val="en-US" w:eastAsia="zh-CN"/>
        </w:rPr>
        <w:t>信息完善</w:t>
      </w:r>
      <w:bookmarkEnd w:id="20"/>
    </w:p>
    <w:p w14:paraId="038C07A2">
      <w:pPr>
        <w:numPr>
          <w:ilvl w:val="0"/>
          <w:numId w:val="11"/>
        </w:numPr>
        <w:ind w:left="0" w:leftChars="0" w:firstLine="420" w:firstLineChars="2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商品信息完善</w:t>
      </w:r>
    </w:p>
    <w:p w14:paraId="556E1508">
      <w:pPr>
        <w:pStyle w:val="12"/>
        <w:ind w:firstLine="560"/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选择目标商品，点击【编辑图标】按钮进入商品编辑界面，</w:t>
      </w:r>
      <w:r>
        <w:rPr>
          <w:rFonts w:hint="default" w:eastAsia="宋体"/>
          <w:lang w:val="en-US" w:eastAsia="zh-CN"/>
        </w:rPr>
        <w:t>供应商需对系统自动带入的中标商品信息进行补充完善，</w:t>
      </w:r>
      <w:r>
        <w:rPr>
          <w:rFonts w:hint="eastAsia" w:eastAsia="宋体"/>
          <w:lang w:val="en-US" w:eastAsia="zh-CN"/>
        </w:rPr>
        <w:t>包括通用信息、详细描述、其他信息、商品属性、商品相册等内容，确保信息完整、准确、与中标结果一致。</w:t>
      </w:r>
    </w:p>
    <w:p w14:paraId="707035EE">
      <w:pPr>
        <w:pStyle w:val="12"/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20" w:firstLineChars="200"/>
        <w:textAlignment w:val="auto"/>
        <w:rPr>
          <w:rFonts w:hint="default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通用信息：商品名称、商品编码、商品分类、商品价格、生产周期</w:t>
      </w:r>
      <w:r>
        <w:rPr>
          <w:rFonts w:hint="eastAsia"/>
          <w:lang w:val="en-US" w:eastAsia="zh-CN"/>
        </w:rPr>
        <w:t>（必填）</w:t>
      </w:r>
      <w:r>
        <w:rPr>
          <w:rFonts w:hint="eastAsia" w:eastAsia="宋体"/>
          <w:lang w:val="en-US" w:eastAsia="zh-CN"/>
        </w:rPr>
        <w:t>、最少起购数量</w:t>
      </w:r>
      <w:r>
        <w:rPr>
          <w:rFonts w:hint="eastAsia"/>
          <w:lang w:val="en-US" w:eastAsia="zh-CN"/>
        </w:rPr>
        <w:t>（必填）</w:t>
      </w:r>
      <w:r>
        <w:rPr>
          <w:rFonts w:hint="eastAsia" w:eastAsia="宋体"/>
          <w:lang w:val="en-US" w:eastAsia="zh-CN"/>
        </w:rPr>
        <w:t>、上传商品图片</w:t>
      </w:r>
      <w:r>
        <w:rPr>
          <w:rFonts w:hint="eastAsia"/>
          <w:lang w:val="en-US" w:eastAsia="zh-CN"/>
        </w:rPr>
        <w:t>（必填）</w:t>
      </w:r>
      <w:r>
        <w:rPr>
          <w:rFonts w:hint="eastAsia" w:eastAsia="宋体"/>
          <w:lang w:val="en-US" w:eastAsia="zh-CN"/>
        </w:rPr>
        <w:t>、上传商品缩略图；</w:t>
      </w:r>
      <w:r>
        <w:rPr>
          <w:rFonts w:hint="eastAsia"/>
          <w:lang w:val="en-US" w:eastAsia="zh-CN"/>
        </w:rPr>
        <w:t>其中商品图片上传格式仅限 PNG、JPG，要求画面清晰、无拉伸变形、真实还原商品实物样貌；</w:t>
      </w:r>
    </w:p>
    <w:p w14:paraId="27C1F30A">
      <w:pPr>
        <w:pStyle w:val="12"/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20" w:firstLineChars="200"/>
        <w:textAlignment w:val="auto"/>
        <w:rPr>
          <w:rFonts w:hint="default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详细描述：商品详细描述信息，支持文字、图片等；</w:t>
      </w:r>
    </w:p>
    <w:p w14:paraId="02A5D5B4">
      <w:pPr>
        <w:pStyle w:val="12"/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20" w:firstLineChars="200"/>
        <w:textAlignment w:val="auto"/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其他信息：商品重量、商品库存</w:t>
      </w:r>
      <w:r>
        <w:rPr>
          <w:rFonts w:hint="eastAsia"/>
          <w:lang w:val="en-US" w:eastAsia="zh-CN"/>
        </w:rPr>
        <w:t>（必填）</w:t>
      </w:r>
      <w:r>
        <w:rPr>
          <w:rFonts w:hint="eastAsia" w:eastAsia="宋体"/>
          <w:lang w:val="en-US" w:eastAsia="zh-CN"/>
        </w:rPr>
        <w:t>、库存警告数量、商品关键词、商品简要描述、商家备注；</w:t>
      </w:r>
    </w:p>
    <w:p w14:paraId="436BE64A">
      <w:pPr>
        <w:pStyle w:val="12"/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20" w:firstLineChars="200"/>
        <w:textAlignment w:val="auto"/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商品属性：计量单位、规格、型号/材质、图号、技术要求、主机号</w:t>
      </w:r>
    </w:p>
    <w:p w14:paraId="196F0D44">
      <w:pPr>
        <w:pStyle w:val="12"/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20" w:firstLineChars="200"/>
        <w:textAlignment w:val="auto"/>
        <w:rPr>
          <w:rFonts w:hint="default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商品相册：商品图品册。</w:t>
      </w:r>
    </w:p>
    <w:p w14:paraId="6B910E43">
      <w:pPr>
        <w:numPr>
          <w:ilvl w:val="0"/>
          <w:numId w:val="11"/>
        </w:numPr>
        <w:ind w:left="0" w:leftChars="0" w:firstLine="420" w:firstLineChars="2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商品提交审核</w:t>
      </w:r>
    </w:p>
    <w:p w14:paraId="213446FC">
      <w:pPr>
        <w:pStyle w:val="12"/>
        <w:ind w:firstLine="560"/>
        <w:rPr>
          <w:rFonts w:hint="default" w:eastAsia="宋体"/>
          <w:lang w:val="en-US" w:eastAsia="zh-CN"/>
        </w:rPr>
      </w:pPr>
      <w:r>
        <w:rPr>
          <w:rFonts w:hint="default" w:eastAsia="宋体"/>
          <w:lang w:val="en-US" w:eastAsia="zh-CN"/>
        </w:rPr>
        <w:t>商品信息完善后，在商品</w:t>
      </w:r>
      <w:r>
        <w:rPr>
          <w:rFonts w:hint="eastAsia" w:eastAsia="宋体"/>
          <w:lang w:val="en-US" w:eastAsia="zh-CN"/>
        </w:rPr>
        <w:t>编辑界面</w:t>
      </w:r>
      <w:r>
        <w:rPr>
          <w:rFonts w:hint="default" w:eastAsia="宋体"/>
          <w:lang w:val="en-US" w:eastAsia="zh-CN"/>
        </w:rPr>
        <w:t>点击【提交】按钮，将商品信息推送至平台运营管理员进行审核。</w:t>
      </w:r>
    </w:p>
    <w:p w14:paraId="1A8AD78D">
      <w:pPr>
        <w:pStyle w:val="12"/>
        <w:ind w:firstLine="560"/>
        <w:rPr>
          <w:rFonts w:hint="default" w:eastAsia="宋体"/>
          <w:lang w:val="en-US" w:eastAsia="zh-CN"/>
        </w:rPr>
      </w:pPr>
      <w:r>
        <w:rPr>
          <w:rFonts w:hint="default" w:eastAsia="宋体"/>
          <w:lang w:val="en-US" w:eastAsia="zh-CN"/>
        </w:rPr>
        <w:t>提交审核后，商品状态变更为待审核，供应商不可再随意编辑；如需修改，可撤销审核后重新完善信息并再次提交。</w:t>
      </w:r>
    </w:p>
    <w:p w14:paraId="1F1292FE">
      <w:pPr>
        <w:pStyle w:val="3"/>
        <w:bidi w:val="0"/>
        <w:ind w:left="575" w:leftChars="0" w:hanging="575" w:firstLineChars="0"/>
        <w:rPr>
          <w:rFonts w:hint="default"/>
          <w:lang w:val="en-US" w:eastAsia="zh-CN"/>
        </w:rPr>
      </w:pPr>
      <w:bookmarkStart w:id="21" w:name="_Toc2729"/>
      <w:r>
        <w:rPr>
          <w:rFonts w:hint="default"/>
          <w:lang w:val="en-US" w:eastAsia="zh-CN"/>
        </w:rPr>
        <w:t>商品上架与使用</w:t>
      </w:r>
      <w:bookmarkEnd w:id="21"/>
    </w:p>
    <w:p w14:paraId="6408875E">
      <w:pPr>
        <w:pStyle w:val="12"/>
        <w:ind w:firstLine="560"/>
        <w:rPr>
          <w:rFonts w:hint="default" w:eastAsia="宋体"/>
          <w:lang w:val="en-US" w:eastAsia="zh-CN"/>
        </w:rPr>
      </w:pPr>
      <w:r>
        <w:rPr>
          <w:rFonts w:hint="default" w:eastAsia="宋体"/>
          <w:lang w:val="en-US" w:eastAsia="zh-CN"/>
        </w:rPr>
        <w:t>商品经平台运营管理员审核通过后，系统自动上架至</w:t>
      </w:r>
      <w:r>
        <w:rPr>
          <w:rFonts w:hint="eastAsia"/>
          <w:lang w:val="en-US" w:eastAsia="zh-CN"/>
        </w:rPr>
        <w:t>汇采商城</w:t>
      </w:r>
      <w:r>
        <w:rPr>
          <w:rFonts w:hint="default" w:eastAsia="宋体"/>
          <w:lang w:val="en-US" w:eastAsia="zh-CN"/>
        </w:rPr>
        <w:t>，向</w:t>
      </w:r>
      <w:r>
        <w:rPr>
          <w:rFonts w:hint="eastAsia" w:eastAsia="宋体"/>
          <w:lang w:val="en-US" w:eastAsia="zh-CN"/>
        </w:rPr>
        <w:t>采购商</w:t>
      </w:r>
      <w:r>
        <w:rPr>
          <w:rFonts w:hint="default" w:eastAsia="宋体"/>
          <w:lang w:val="en-US" w:eastAsia="zh-CN"/>
        </w:rPr>
        <w:t>开放选购权限。</w:t>
      </w:r>
    </w:p>
    <w:p w14:paraId="5E915027">
      <w:pPr>
        <w:pStyle w:val="12"/>
        <w:ind w:firstLine="560"/>
        <w:rPr>
          <w:rFonts w:hint="default" w:eastAsia="宋体"/>
          <w:lang w:val="en-US" w:eastAsia="zh-CN"/>
        </w:rPr>
      </w:pPr>
      <w:r>
        <w:rPr>
          <w:rFonts w:hint="default" w:eastAsia="宋体"/>
          <w:lang w:val="en-US" w:eastAsia="zh-CN"/>
        </w:rPr>
        <w:t>已上架商品信息、价格、规格必须与中标结果、框架合同保持一致，如需变更需重新提交审核，审核通过后方可更新上架。</w:t>
      </w:r>
    </w:p>
    <w:p w14:paraId="02511902">
      <w:pPr>
        <w:pStyle w:val="2"/>
        <w:bidi w:val="0"/>
        <w:ind w:left="432" w:leftChars="0" w:hanging="432" w:firstLineChars="0"/>
        <w:rPr>
          <w:rFonts w:hint="default"/>
          <w:lang w:val="en-US" w:eastAsia="zh-CN"/>
        </w:rPr>
      </w:pPr>
      <w:bookmarkStart w:id="22" w:name="_Toc24710"/>
      <w:r>
        <w:rPr>
          <w:rFonts w:hint="eastAsia"/>
          <w:lang w:val="en-US" w:eastAsia="zh-CN"/>
        </w:rPr>
        <w:t>订单管理</w:t>
      </w:r>
      <w:bookmarkEnd w:id="22"/>
    </w:p>
    <w:p w14:paraId="41698243">
      <w:pPr>
        <w:pStyle w:val="12"/>
        <w:ind w:firstLine="560"/>
        <w:rPr>
          <w:rFonts w:hint="default" w:eastAsia="宋体"/>
          <w:lang w:val="en-US" w:eastAsia="zh-CN"/>
        </w:rPr>
      </w:pPr>
      <w:r>
        <w:rPr>
          <w:rFonts w:hint="default" w:eastAsia="宋体"/>
          <w:lang w:val="en-US" w:eastAsia="zh-CN"/>
        </w:rPr>
        <w:t>订单管理用于供应商接收、处理、跟踪</w:t>
      </w:r>
      <w:r>
        <w:rPr>
          <w:rFonts w:hint="eastAsia"/>
          <w:lang w:val="en-US" w:eastAsia="zh-CN"/>
        </w:rPr>
        <w:t>汇采商城</w:t>
      </w:r>
      <w:r>
        <w:rPr>
          <w:rFonts w:hint="default" w:eastAsia="宋体"/>
          <w:lang w:val="en-US" w:eastAsia="zh-CN"/>
        </w:rPr>
        <w:t>采购</w:t>
      </w:r>
      <w:r>
        <w:rPr>
          <w:rFonts w:hint="eastAsia" w:eastAsia="宋体"/>
          <w:lang w:val="en-US" w:eastAsia="zh-CN"/>
        </w:rPr>
        <w:t>汇总</w:t>
      </w:r>
      <w:r>
        <w:rPr>
          <w:rFonts w:hint="default" w:eastAsia="宋体"/>
          <w:lang w:val="en-US" w:eastAsia="zh-CN"/>
        </w:rPr>
        <w:t>订单，涵盖订单查看、发货处理、凭证上传、订单跟踪、月度结算等全流程操作，确保订单履约规范、高效，保障采购商采购需求顺利落地，同时为后续结算、开票提供</w:t>
      </w:r>
      <w:r>
        <w:rPr>
          <w:rFonts w:hint="eastAsia"/>
          <w:lang w:val="en-US" w:eastAsia="zh-CN"/>
        </w:rPr>
        <w:t>合法</w:t>
      </w:r>
      <w:r>
        <w:rPr>
          <w:rFonts w:hint="default" w:eastAsia="宋体"/>
          <w:lang w:val="en-US" w:eastAsia="zh-CN"/>
        </w:rPr>
        <w:t>依据。所有订单操作需严格遵循框架合同约定及平台运营规则，确保履约合规、数据准确。</w:t>
      </w:r>
    </w:p>
    <w:p w14:paraId="325E2101">
      <w:pPr>
        <w:pStyle w:val="3"/>
        <w:bidi w:val="0"/>
        <w:ind w:left="575" w:leftChars="0" w:hanging="575" w:firstLineChars="0"/>
        <w:rPr>
          <w:rFonts w:hint="default"/>
          <w:lang w:val="en-US" w:eastAsia="zh-CN"/>
        </w:rPr>
      </w:pPr>
      <w:bookmarkStart w:id="23" w:name="_Toc23633"/>
      <w:bookmarkStart w:id="41" w:name="_GoBack"/>
      <w:bookmarkEnd w:id="41"/>
      <w:r>
        <w:rPr>
          <w:rFonts w:hint="eastAsia"/>
          <w:lang w:val="en-US" w:eastAsia="zh-CN"/>
        </w:rPr>
        <w:t>订单信息查看</w:t>
      </w:r>
      <w:bookmarkEnd w:id="23"/>
    </w:p>
    <w:p w14:paraId="2FFF1049">
      <w:pPr>
        <w:pStyle w:val="12"/>
        <w:ind w:firstLine="560"/>
        <w:rPr>
          <w:rFonts w:hint="default" w:eastAsia="宋体"/>
          <w:lang w:val="en-US" w:eastAsia="zh-CN"/>
        </w:rPr>
      </w:pPr>
      <w:r>
        <w:rPr>
          <w:rFonts w:hint="default" w:eastAsia="宋体"/>
          <w:lang w:val="en-US" w:eastAsia="zh-CN"/>
        </w:rPr>
        <w:t>供应商登录系统后，进入订单管理</w:t>
      </w:r>
      <w:r>
        <w:rPr>
          <w:rFonts w:hint="eastAsia" w:eastAsia="宋体"/>
          <w:lang w:val="en-US" w:eastAsia="zh-CN"/>
        </w:rPr>
        <w:t>-</w:t>
      </w:r>
      <w:r>
        <w:rPr>
          <w:rFonts w:hint="default" w:eastAsia="宋体"/>
          <w:lang w:val="en-US" w:eastAsia="zh-CN"/>
        </w:rPr>
        <w:t>订单列表界面，系统自动同步平台汇总后的采购订单信息，直观展示所有订单的关键详情，包括下单时间、订单编号、</w:t>
      </w:r>
      <w:r>
        <w:rPr>
          <w:rFonts w:hint="eastAsia" w:eastAsia="宋体"/>
          <w:lang w:val="en-US" w:eastAsia="zh-CN"/>
        </w:rPr>
        <w:t>集采</w:t>
      </w:r>
      <w:r>
        <w:rPr>
          <w:rFonts w:hint="default" w:eastAsia="宋体"/>
          <w:lang w:val="en-US" w:eastAsia="zh-CN"/>
        </w:rPr>
        <w:t>商名称（</w:t>
      </w:r>
      <w:r>
        <w:rPr>
          <w:rFonts w:hint="eastAsia" w:eastAsia="宋体"/>
          <w:lang w:val="en-US" w:eastAsia="zh-CN"/>
        </w:rPr>
        <w:t>黑龙江龙煤宏泰国际贸易有限公司</w:t>
      </w:r>
      <w:r>
        <w:rPr>
          <w:rFonts w:hint="default" w:eastAsia="宋体"/>
          <w:lang w:val="en-US" w:eastAsia="zh-CN"/>
        </w:rPr>
        <w:t>）、商品名称、规格、数量、订单金额、</w:t>
      </w:r>
      <w:r>
        <w:rPr>
          <w:rFonts w:hint="eastAsia" w:eastAsia="宋体"/>
          <w:lang w:val="en-US" w:eastAsia="zh-CN"/>
        </w:rPr>
        <w:t>剩余应收金额、</w:t>
      </w:r>
      <w:r>
        <w:rPr>
          <w:rFonts w:hint="default" w:eastAsia="宋体"/>
          <w:lang w:val="en-US" w:eastAsia="zh-CN"/>
        </w:rPr>
        <w:t>订单状态、</w:t>
      </w:r>
      <w:r>
        <w:rPr>
          <w:rFonts w:hint="eastAsia" w:eastAsia="宋体"/>
          <w:lang w:val="en-US" w:eastAsia="zh-CN"/>
        </w:rPr>
        <w:t>标签</w:t>
      </w:r>
      <w:r>
        <w:rPr>
          <w:rFonts w:hint="default" w:eastAsia="宋体"/>
          <w:lang w:val="en-US" w:eastAsia="zh-CN"/>
        </w:rPr>
        <w:t>等信息，支持快速检索与状态筛选。</w:t>
      </w:r>
    </w:p>
    <w:p w14:paraId="2295268A">
      <w:pPr>
        <w:pStyle w:val="12"/>
        <w:numPr>
          <w:ilvl w:val="0"/>
          <w:numId w:val="12"/>
        </w:numPr>
        <w:ind w:left="0" w:leftChars="0" w:firstLine="420" w:firstLineChars="2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订单详情</w:t>
      </w:r>
    </w:p>
    <w:p w14:paraId="05FABB86">
      <w:pPr>
        <w:pStyle w:val="12"/>
        <w:ind w:firstLine="560"/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选择目标订单，点击【订单详情】</w:t>
      </w:r>
      <w:r>
        <w:rPr>
          <w:rFonts w:hint="eastAsia"/>
          <w:lang w:val="en-US" w:eastAsia="zh-CN"/>
        </w:rPr>
        <w:t>文字链接按钮</w:t>
      </w:r>
      <w:r>
        <w:rPr>
          <w:rFonts w:hint="eastAsia" w:eastAsia="宋体"/>
          <w:lang w:val="en-US" w:eastAsia="zh-CN"/>
        </w:rPr>
        <w:t>进入订单详情页面，可查看订单完整信息，包括：</w:t>
      </w:r>
    </w:p>
    <w:p w14:paraId="414D2DC9">
      <w:pPr>
        <w:pStyle w:val="12"/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20" w:firstLineChars="200"/>
        <w:textAlignment w:val="auto"/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当前可执行操作：展示汇总订单当前状态下可执行的全部操作，方便供应商快速开展对应业务。</w:t>
      </w:r>
    </w:p>
    <w:p w14:paraId="1BF61853">
      <w:pPr>
        <w:pStyle w:val="12"/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20" w:firstLineChars="200"/>
        <w:textAlignment w:val="auto"/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基本信息：包含订单编号、订单状态、需求企业（黑龙江龙煤宏泰国际贸易有限公司）、订单总数量、订单总金额、已付金额、未付金额、挂账金额、交易</w:t>
      </w:r>
      <w:r>
        <w:rPr>
          <w:rFonts w:hint="eastAsia"/>
          <w:lang w:val="en-US" w:eastAsia="zh-CN"/>
        </w:rPr>
        <w:t>服务费</w:t>
      </w:r>
      <w:r>
        <w:rPr>
          <w:rFonts w:hint="eastAsia" w:eastAsia="宋体"/>
          <w:lang w:val="en-US" w:eastAsia="zh-CN"/>
        </w:rPr>
        <w:t>等核心信息</w:t>
      </w:r>
      <w:r>
        <w:rPr>
          <w:rFonts w:hint="eastAsia"/>
          <w:lang w:val="en-US" w:eastAsia="zh-CN"/>
        </w:rPr>
        <w:t>；</w:t>
      </w:r>
    </w:p>
    <w:p w14:paraId="5E2A6084">
      <w:pPr>
        <w:pStyle w:val="12"/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20" w:firstLineChars="200"/>
        <w:textAlignment w:val="auto"/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采购明细：包含采购商采购订单明细信息，具体有采购商下单时间、订单状态、商品名称、规格、商品价格、商品数量、收货信息、送货时间、订单附言、发货/收货凭证等</w:t>
      </w:r>
      <w:r>
        <w:rPr>
          <w:rFonts w:hint="eastAsia"/>
          <w:lang w:val="en-US" w:eastAsia="zh-CN"/>
        </w:rPr>
        <w:t>；</w:t>
      </w:r>
    </w:p>
    <w:p w14:paraId="16A04036">
      <w:pPr>
        <w:pStyle w:val="12"/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20" w:firstLineChars="200"/>
        <w:textAlignment w:val="auto"/>
        <w:rPr>
          <w:rFonts w:hint="default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结算信息：包含汇总订单每月结算信息，具体有结算时间、结算月度、商品名称、规格、商品价格、商品数量、商品金额、结算金额、交易服务费金额、货款金额、结算发票、交易服务费缴纳凭证、货款支付凭证、结算合同、交易服务费发票等。</w:t>
      </w:r>
    </w:p>
    <w:p w14:paraId="71760E9B">
      <w:pPr>
        <w:pStyle w:val="12"/>
        <w:numPr>
          <w:ilvl w:val="0"/>
          <w:numId w:val="12"/>
        </w:numPr>
        <w:ind w:left="0" w:leftChars="0" w:firstLine="420" w:firstLineChars="200"/>
        <w:rPr>
          <w:rFonts w:hint="default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订单状态</w:t>
      </w:r>
    </w:p>
    <w:p w14:paraId="65764F77">
      <w:pPr>
        <w:pStyle w:val="12"/>
        <w:ind w:firstLine="560"/>
        <w:rPr>
          <w:rFonts w:hint="default" w:eastAsia="宋体"/>
          <w:lang w:val="en-US" w:eastAsia="zh-CN"/>
        </w:rPr>
      </w:pPr>
      <w:r>
        <w:rPr>
          <w:rFonts w:hint="default" w:eastAsia="宋体"/>
          <w:lang w:val="en-US" w:eastAsia="zh-CN"/>
        </w:rPr>
        <w:t>订单列表及详情页实时展示订单状态，供应商可根据状态及时处理对应业务，各状态具体说明如下：</w:t>
      </w:r>
    </w:p>
    <w:p w14:paraId="20968EEB">
      <w:pPr>
        <w:pStyle w:val="12"/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20" w:firstLineChars="200"/>
        <w:textAlignment w:val="auto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待缴纳履约保证金：</w:t>
      </w:r>
      <w:r>
        <w:rPr>
          <w:rFonts w:hint="default" w:eastAsia="宋体"/>
          <w:lang w:val="en-US" w:eastAsia="zh-CN"/>
        </w:rPr>
        <w:t>订单汇总后同步</w:t>
      </w:r>
      <w:r>
        <w:rPr>
          <w:rFonts w:hint="eastAsia"/>
          <w:lang w:val="en-US" w:eastAsia="zh-CN"/>
        </w:rPr>
        <w:t>推送</w:t>
      </w:r>
      <w:r>
        <w:rPr>
          <w:rFonts w:hint="default" w:eastAsia="宋体"/>
          <w:lang w:val="en-US" w:eastAsia="zh-CN"/>
        </w:rPr>
        <w:t>至供应商端，供应商需按平台规则足额缴纳订单履约保证金，并上传对应的缴费凭证，完成前置履约手续</w:t>
      </w:r>
      <w:r>
        <w:rPr>
          <w:rFonts w:hint="eastAsia"/>
          <w:lang w:val="en-US" w:eastAsia="zh-CN"/>
        </w:rPr>
        <w:t>；</w:t>
      </w:r>
    </w:p>
    <w:p w14:paraId="27B0349D">
      <w:pPr>
        <w:pStyle w:val="12"/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待履约保证金审核：供应商已完成履约保证金缴纳并上传缴费凭证，待平台业务人员审核确认，审核通过后方可进入后续发货履约流程；</w:t>
      </w:r>
    </w:p>
    <w:p w14:paraId="6A41B1B0">
      <w:pPr>
        <w:pStyle w:val="12"/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20" w:firstLineChars="200"/>
        <w:textAlignment w:val="auto"/>
        <w:rPr>
          <w:rFonts w:hint="default" w:eastAsia="宋体"/>
          <w:lang w:val="en-US" w:eastAsia="zh-CN"/>
        </w:rPr>
      </w:pPr>
      <w:r>
        <w:rPr>
          <w:rFonts w:hint="default" w:eastAsia="宋体"/>
          <w:lang w:val="en-US" w:eastAsia="zh-CN"/>
        </w:rPr>
        <w:t>待发货</w:t>
      </w:r>
      <w:r>
        <w:rPr>
          <w:rFonts w:hint="eastAsia" w:eastAsia="宋体"/>
          <w:lang w:val="en-US" w:eastAsia="zh-CN"/>
        </w:rPr>
        <w:t>：</w:t>
      </w:r>
      <w:r>
        <w:rPr>
          <w:rFonts w:hint="eastAsia"/>
          <w:lang w:val="en-US" w:eastAsia="zh-CN"/>
        </w:rPr>
        <w:t>订单履约保证金审核通过后</w:t>
      </w:r>
      <w:r>
        <w:rPr>
          <w:rFonts w:hint="default" w:eastAsia="宋体"/>
          <w:lang w:val="en-US" w:eastAsia="zh-CN"/>
        </w:rPr>
        <w:t>，等待供应商组织发货</w:t>
      </w:r>
      <w:r>
        <w:rPr>
          <w:rFonts w:hint="eastAsia" w:eastAsia="宋体"/>
          <w:lang w:val="en-US" w:eastAsia="zh-CN"/>
        </w:rPr>
        <w:t>；</w:t>
      </w:r>
    </w:p>
    <w:p w14:paraId="089B3835">
      <w:pPr>
        <w:pStyle w:val="12"/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20" w:firstLineChars="200"/>
        <w:textAlignment w:val="auto"/>
        <w:rPr>
          <w:rFonts w:hint="default" w:eastAsia="宋体"/>
          <w:lang w:val="en-US" w:eastAsia="zh-CN"/>
        </w:rPr>
      </w:pPr>
      <w:r>
        <w:rPr>
          <w:rFonts w:hint="default" w:eastAsia="宋体"/>
          <w:lang w:val="en-US" w:eastAsia="zh-CN"/>
        </w:rPr>
        <w:t>待收货</w:t>
      </w:r>
      <w:r>
        <w:rPr>
          <w:rFonts w:hint="eastAsia" w:eastAsia="宋体"/>
          <w:lang w:val="en-US" w:eastAsia="zh-CN"/>
        </w:rPr>
        <w:t>：</w:t>
      </w:r>
      <w:r>
        <w:rPr>
          <w:rFonts w:hint="default" w:eastAsia="宋体"/>
          <w:lang w:val="en-US" w:eastAsia="zh-CN"/>
        </w:rPr>
        <w:t>供应商已发货，等待中间库回传到货/退货信息</w:t>
      </w:r>
      <w:r>
        <w:rPr>
          <w:rFonts w:hint="eastAsia" w:eastAsia="宋体"/>
          <w:lang w:val="en-US" w:eastAsia="zh-CN"/>
        </w:rPr>
        <w:t>；</w:t>
      </w:r>
    </w:p>
    <w:p w14:paraId="02CD15D1">
      <w:pPr>
        <w:pStyle w:val="12"/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20" w:firstLineChars="200"/>
        <w:textAlignment w:val="auto"/>
        <w:rPr>
          <w:rFonts w:hint="default" w:eastAsia="宋体"/>
          <w:lang w:val="en-US" w:eastAsia="zh-CN"/>
        </w:rPr>
      </w:pPr>
      <w:r>
        <w:rPr>
          <w:rFonts w:hint="default" w:eastAsia="宋体"/>
          <w:lang w:val="en-US" w:eastAsia="zh-CN"/>
        </w:rPr>
        <w:t>待平台签署</w:t>
      </w:r>
      <w:r>
        <w:rPr>
          <w:rFonts w:hint="eastAsia" w:eastAsia="宋体"/>
          <w:lang w:val="en-US" w:eastAsia="zh-CN"/>
        </w:rPr>
        <w:t>：</w:t>
      </w:r>
      <w:r>
        <w:rPr>
          <w:rFonts w:hint="default" w:eastAsia="宋体"/>
          <w:lang w:val="en-US" w:eastAsia="zh-CN"/>
        </w:rPr>
        <w:t>月度消耗自动汇总后，等待平台业务部室业务员签署结算合同</w:t>
      </w:r>
      <w:r>
        <w:rPr>
          <w:rFonts w:hint="eastAsia" w:eastAsia="宋体"/>
          <w:lang w:val="en-US" w:eastAsia="zh-CN"/>
        </w:rPr>
        <w:t>；</w:t>
      </w:r>
    </w:p>
    <w:p w14:paraId="1E89D30C">
      <w:pPr>
        <w:pStyle w:val="12"/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20" w:firstLineChars="200"/>
        <w:textAlignment w:val="auto"/>
        <w:rPr>
          <w:rFonts w:hint="default" w:eastAsia="宋体"/>
          <w:lang w:val="en-US" w:eastAsia="zh-CN"/>
        </w:rPr>
      </w:pPr>
      <w:r>
        <w:rPr>
          <w:rFonts w:hint="default" w:eastAsia="宋体"/>
          <w:lang w:val="en-US" w:eastAsia="zh-CN"/>
        </w:rPr>
        <w:t>待签署</w:t>
      </w:r>
      <w:r>
        <w:rPr>
          <w:rFonts w:hint="eastAsia" w:eastAsia="宋体"/>
          <w:lang w:val="en-US" w:eastAsia="zh-CN"/>
        </w:rPr>
        <w:t>：</w:t>
      </w:r>
      <w:r>
        <w:rPr>
          <w:rFonts w:hint="default" w:eastAsia="宋体"/>
          <w:lang w:val="en-US" w:eastAsia="zh-CN"/>
        </w:rPr>
        <w:t>平台业务部室业务员签署合同后，合同同步供应商端，待供应商端签署</w:t>
      </w:r>
      <w:r>
        <w:rPr>
          <w:rFonts w:hint="eastAsia" w:eastAsia="宋体"/>
          <w:lang w:val="en-US" w:eastAsia="zh-CN"/>
        </w:rPr>
        <w:t>；</w:t>
      </w:r>
    </w:p>
    <w:p w14:paraId="4FB9C210">
      <w:pPr>
        <w:pStyle w:val="12"/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20" w:firstLineChars="200"/>
        <w:textAlignment w:val="auto"/>
        <w:rPr>
          <w:rFonts w:hint="default" w:eastAsia="宋体"/>
          <w:lang w:val="en-US" w:eastAsia="zh-CN"/>
        </w:rPr>
      </w:pPr>
      <w:r>
        <w:rPr>
          <w:rFonts w:hint="default" w:eastAsia="宋体"/>
          <w:lang w:val="en-US" w:eastAsia="zh-CN"/>
        </w:rPr>
        <w:t>待开发票</w:t>
      </w:r>
      <w:r>
        <w:rPr>
          <w:rFonts w:hint="eastAsia" w:eastAsia="宋体"/>
          <w:lang w:val="en-US" w:eastAsia="zh-CN"/>
        </w:rPr>
        <w:t>：</w:t>
      </w:r>
      <w:r>
        <w:rPr>
          <w:rFonts w:hint="default" w:eastAsia="宋体"/>
          <w:lang w:val="en-US" w:eastAsia="zh-CN"/>
        </w:rPr>
        <w:t>双方结算合同签署完成后，待供应商上传结算合同金额对应发票及交易服务费缴纳凭证</w:t>
      </w:r>
      <w:r>
        <w:rPr>
          <w:rFonts w:hint="eastAsia" w:eastAsia="宋体"/>
          <w:lang w:val="en-US" w:eastAsia="zh-CN"/>
        </w:rPr>
        <w:t>；</w:t>
      </w:r>
    </w:p>
    <w:p w14:paraId="72FED378">
      <w:pPr>
        <w:pStyle w:val="12"/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20" w:firstLineChars="200"/>
        <w:textAlignment w:val="auto"/>
        <w:rPr>
          <w:rFonts w:hint="default" w:eastAsia="宋体"/>
          <w:lang w:val="en-US" w:eastAsia="zh-CN"/>
        </w:rPr>
      </w:pPr>
      <w:r>
        <w:rPr>
          <w:rFonts w:hint="default" w:eastAsia="宋体"/>
          <w:lang w:val="en-US" w:eastAsia="zh-CN"/>
        </w:rPr>
        <w:t>待发票审核</w:t>
      </w:r>
      <w:r>
        <w:rPr>
          <w:rFonts w:hint="eastAsia" w:eastAsia="宋体"/>
          <w:lang w:val="en-US" w:eastAsia="zh-CN"/>
        </w:rPr>
        <w:t>：</w:t>
      </w:r>
      <w:r>
        <w:rPr>
          <w:rFonts w:hint="default" w:eastAsia="宋体"/>
          <w:lang w:val="en-US" w:eastAsia="zh-CN"/>
        </w:rPr>
        <w:t>结算发票及交易服务费缴纳凭证已上传，待平台业务部室业务员审核</w:t>
      </w:r>
      <w:r>
        <w:rPr>
          <w:rFonts w:hint="eastAsia" w:eastAsia="宋体"/>
          <w:lang w:val="en-US" w:eastAsia="zh-CN"/>
        </w:rPr>
        <w:t>。</w:t>
      </w:r>
      <w:r>
        <w:rPr>
          <w:rFonts w:hint="default" w:eastAsia="宋体"/>
          <w:lang w:val="en-US" w:eastAsia="zh-CN"/>
        </w:rPr>
        <w:t>发票及交易服务费不合规，状态重新变为待开发票</w:t>
      </w:r>
      <w:r>
        <w:rPr>
          <w:rFonts w:hint="eastAsia" w:eastAsia="宋体"/>
          <w:lang w:val="en-US" w:eastAsia="zh-CN"/>
        </w:rPr>
        <w:t>；</w:t>
      </w:r>
    </w:p>
    <w:p w14:paraId="53CE0E1C">
      <w:pPr>
        <w:pStyle w:val="12"/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20" w:firstLineChars="200"/>
        <w:textAlignment w:val="auto"/>
        <w:rPr>
          <w:rFonts w:hint="default" w:eastAsia="宋体"/>
          <w:lang w:val="en-US" w:eastAsia="zh-CN"/>
        </w:rPr>
      </w:pPr>
      <w:r>
        <w:rPr>
          <w:rFonts w:hint="default" w:eastAsia="宋体"/>
          <w:lang w:val="en-US" w:eastAsia="zh-CN"/>
        </w:rPr>
        <w:t>待结算审核</w:t>
      </w:r>
      <w:r>
        <w:rPr>
          <w:rFonts w:hint="eastAsia" w:eastAsia="宋体"/>
          <w:lang w:val="en-US" w:eastAsia="zh-CN"/>
        </w:rPr>
        <w:t>：</w:t>
      </w:r>
      <w:r>
        <w:rPr>
          <w:rFonts w:hint="default" w:eastAsia="宋体"/>
          <w:lang w:val="en-US" w:eastAsia="zh-CN"/>
        </w:rPr>
        <w:t>发票审核通过后，待平台业务审核部结算审核</w:t>
      </w:r>
      <w:r>
        <w:rPr>
          <w:rFonts w:hint="eastAsia" w:eastAsia="宋体"/>
          <w:lang w:val="en-US" w:eastAsia="zh-CN"/>
        </w:rPr>
        <w:t>；</w:t>
      </w:r>
    </w:p>
    <w:p w14:paraId="430D0584">
      <w:pPr>
        <w:pStyle w:val="12"/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20" w:firstLineChars="200"/>
        <w:textAlignment w:val="auto"/>
        <w:rPr>
          <w:rFonts w:hint="default" w:eastAsia="宋体"/>
          <w:lang w:val="en-US" w:eastAsia="zh-CN"/>
        </w:rPr>
      </w:pPr>
      <w:r>
        <w:rPr>
          <w:rFonts w:hint="default" w:eastAsia="宋体"/>
          <w:lang w:val="en-US" w:eastAsia="zh-CN"/>
        </w:rPr>
        <w:t>待结算货款</w:t>
      </w:r>
      <w:r>
        <w:rPr>
          <w:rFonts w:hint="eastAsia" w:eastAsia="宋体"/>
          <w:lang w:val="en-US" w:eastAsia="zh-CN"/>
        </w:rPr>
        <w:t>：</w:t>
      </w:r>
      <w:r>
        <w:rPr>
          <w:rFonts w:hint="default" w:eastAsia="宋体"/>
          <w:lang w:val="en-US" w:eastAsia="zh-CN"/>
        </w:rPr>
        <w:t>结算审核通过后，待平台出纳结算支付</w:t>
      </w:r>
      <w:r>
        <w:rPr>
          <w:rFonts w:hint="eastAsia" w:eastAsia="宋体"/>
          <w:lang w:val="en-US" w:eastAsia="zh-CN"/>
        </w:rPr>
        <w:t>；</w:t>
      </w:r>
    </w:p>
    <w:p w14:paraId="7F2D854B">
      <w:pPr>
        <w:pStyle w:val="12"/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20" w:firstLineChars="200"/>
        <w:textAlignment w:val="auto"/>
        <w:rPr>
          <w:rFonts w:hint="default" w:eastAsia="宋体"/>
          <w:lang w:val="en-US" w:eastAsia="zh-CN"/>
        </w:rPr>
      </w:pPr>
      <w:r>
        <w:rPr>
          <w:rFonts w:hint="default" w:eastAsia="宋体"/>
          <w:lang w:val="en-US" w:eastAsia="zh-CN"/>
        </w:rPr>
        <w:t>部分结算</w:t>
      </w:r>
      <w:r>
        <w:rPr>
          <w:rFonts w:hint="eastAsia" w:eastAsia="宋体"/>
          <w:lang w:val="en-US" w:eastAsia="zh-CN"/>
        </w:rPr>
        <w:t>：</w:t>
      </w:r>
      <w:r>
        <w:rPr>
          <w:rFonts w:hint="default" w:eastAsia="宋体"/>
          <w:lang w:val="en-US" w:eastAsia="zh-CN"/>
        </w:rPr>
        <w:t>平台出纳结算支付后，订单仍有未消耗商品时状态</w:t>
      </w:r>
      <w:r>
        <w:rPr>
          <w:rFonts w:hint="eastAsia" w:eastAsia="宋体"/>
          <w:lang w:val="en-US" w:eastAsia="zh-CN"/>
        </w:rPr>
        <w:t>；</w:t>
      </w:r>
    </w:p>
    <w:p w14:paraId="59536B0F">
      <w:pPr>
        <w:pStyle w:val="12"/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20" w:firstLineChars="200"/>
        <w:textAlignment w:val="auto"/>
        <w:rPr>
          <w:rFonts w:hint="default" w:eastAsia="宋体"/>
          <w:lang w:val="en-US" w:eastAsia="zh-CN"/>
        </w:rPr>
      </w:pPr>
      <w:r>
        <w:rPr>
          <w:rFonts w:hint="default" w:eastAsia="宋体"/>
          <w:lang w:val="en-US" w:eastAsia="zh-CN"/>
        </w:rPr>
        <w:t>待结算质保金</w:t>
      </w:r>
      <w:r>
        <w:rPr>
          <w:rFonts w:hint="eastAsia" w:eastAsia="宋体"/>
          <w:lang w:val="en-US" w:eastAsia="zh-CN"/>
        </w:rPr>
        <w:t>：</w:t>
      </w:r>
      <w:r>
        <w:rPr>
          <w:rFonts w:hint="default" w:eastAsia="宋体"/>
          <w:lang w:val="en-US" w:eastAsia="zh-CN"/>
        </w:rPr>
        <w:t>平台出纳结算支付后，订单商品全部消耗时状态</w:t>
      </w:r>
      <w:r>
        <w:rPr>
          <w:rFonts w:hint="eastAsia" w:eastAsia="宋体"/>
          <w:lang w:val="en-US" w:eastAsia="zh-CN"/>
        </w:rPr>
        <w:t>；</w:t>
      </w:r>
    </w:p>
    <w:p w14:paraId="7BCFACA0">
      <w:pPr>
        <w:pStyle w:val="12"/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20" w:firstLineChars="200"/>
        <w:textAlignment w:val="auto"/>
        <w:rPr>
          <w:rFonts w:hint="default" w:eastAsia="宋体"/>
          <w:lang w:val="en-US" w:eastAsia="zh-CN"/>
        </w:rPr>
      </w:pPr>
      <w:r>
        <w:rPr>
          <w:rFonts w:hint="default" w:eastAsia="宋体"/>
          <w:lang w:val="en-US" w:eastAsia="zh-CN"/>
        </w:rPr>
        <w:t>已完成</w:t>
      </w:r>
      <w:r>
        <w:rPr>
          <w:rFonts w:hint="eastAsia" w:eastAsia="宋体"/>
          <w:lang w:val="en-US" w:eastAsia="zh-CN"/>
        </w:rPr>
        <w:t>：</w:t>
      </w:r>
      <w:r>
        <w:rPr>
          <w:rFonts w:hint="default" w:eastAsia="宋体"/>
          <w:lang w:val="en-US" w:eastAsia="zh-CN"/>
        </w:rPr>
        <w:t>订单商品消耗完、货款结算完、质保金已结清</w:t>
      </w:r>
      <w:r>
        <w:rPr>
          <w:rFonts w:hint="eastAsia" w:eastAsia="宋体"/>
          <w:lang w:val="en-US" w:eastAsia="zh-CN"/>
        </w:rPr>
        <w:t>。</w:t>
      </w:r>
    </w:p>
    <w:p w14:paraId="433961DA">
      <w:pPr>
        <w:pStyle w:val="3"/>
        <w:bidi w:val="0"/>
        <w:ind w:left="575" w:leftChars="0" w:hanging="575" w:firstLineChars="0"/>
        <w:rPr>
          <w:rFonts w:hint="eastAsia" w:ascii="Arial" w:hAnsi="Arial" w:eastAsia="黑体" w:cstheme="minorBidi"/>
          <w:b/>
          <w:kern w:val="2"/>
          <w:sz w:val="32"/>
          <w:szCs w:val="24"/>
          <w:lang w:val="en-US" w:eastAsia="zh-CN" w:bidi="ar-SA"/>
        </w:rPr>
      </w:pPr>
      <w:bookmarkStart w:id="24" w:name="_Toc22906"/>
      <w:r>
        <w:rPr>
          <w:rFonts w:hint="eastAsia" w:cstheme="minorBidi"/>
          <w:b/>
          <w:kern w:val="2"/>
          <w:sz w:val="32"/>
          <w:szCs w:val="24"/>
          <w:lang w:val="en-US" w:eastAsia="zh-CN" w:bidi="ar-SA"/>
        </w:rPr>
        <w:t>订单履约保证金缴纳</w:t>
      </w:r>
    </w:p>
    <w:p w14:paraId="5AFA5B80">
      <w:pPr>
        <w:pStyle w:val="12"/>
        <w:ind w:firstLine="560"/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订单履约保证金为供应商订单履约前置管控环节。订单正式生成并同步至供应商端后，供应商须按平台管理规定足额缴纳履约保证金，上传缴费凭证，经平台业务人员审核通过后方可启动发货履约流程。未完成保证金缴纳或审核不通过的订单，不得进行发货、验收及后续结算操作。</w:t>
      </w:r>
    </w:p>
    <w:p w14:paraId="39CF47D9">
      <w:pPr>
        <w:pStyle w:val="12"/>
        <w:ind w:firstLine="560"/>
        <w:rPr>
          <w:rFonts w:hint="eastAsia"/>
          <w:lang w:val="en-US" w:eastAsia="zh-CN"/>
        </w:rPr>
      </w:pPr>
      <w:r>
        <w:rPr>
          <w:rFonts w:hint="eastAsia" w:eastAsia="宋体"/>
          <w:lang w:val="en-US" w:eastAsia="zh-CN"/>
        </w:rPr>
        <w:t>供应商在订单列表中筛选查看“待缴纳履约保证金”状态订单，在订单列表中选择目标订单，点击【</w:t>
      </w:r>
      <w:r>
        <w:rPr>
          <w:rFonts w:hint="eastAsia"/>
          <w:lang w:val="en-US" w:eastAsia="zh-CN"/>
        </w:rPr>
        <w:t>履约缴纳</w:t>
      </w:r>
      <w:r>
        <w:rPr>
          <w:rFonts w:hint="eastAsia" w:eastAsia="宋体"/>
          <w:lang w:val="en-US" w:eastAsia="zh-CN"/>
        </w:rPr>
        <w:t>】按钮，</w:t>
      </w:r>
      <w:r>
        <w:rPr>
          <w:rFonts w:hint="eastAsia"/>
          <w:lang w:val="en-US" w:eastAsia="zh-CN"/>
        </w:rPr>
        <w:t>进入订单履约保证金缴纳快捷界面，按照龙煤宏泰相关管理规定缴纳订单履约保证金，并上传有效缴费凭证。</w:t>
      </w:r>
      <w:r>
        <w:rPr>
          <w:rFonts w:hint="eastAsia" w:eastAsia="宋体"/>
          <w:lang w:val="en-US" w:eastAsia="zh-CN"/>
        </w:rPr>
        <w:t>凭证上传完成并提交后，订单状态自动变更为“待审核履约保证金”，</w:t>
      </w:r>
      <w:r>
        <w:rPr>
          <w:rFonts w:hint="eastAsia"/>
          <w:lang w:val="en-US" w:eastAsia="zh-CN"/>
        </w:rPr>
        <w:t>等待平台业务人员核验；审核通过后，订单流转至发货环节。</w:t>
      </w:r>
    </w:p>
    <w:p w14:paraId="7E1FEF54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订单履约保证金汇款户名、开户行及账号：</w:t>
      </w:r>
    </w:p>
    <w:tbl>
      <w:tblPr>
        <w:tblStyle w:val="1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3"/>
        <w:gridCol w:w="7419"/>
      </w:tblGrid>
      <w:tr w14:paraId="57B51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3" w:type="dxa"/>
          </w:tcPr>
          <w:p w14:paraId="01D862F1">
            <w:pP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名称</w:t>
            </w:r>
          </w:p>
        </w:tc>
        <w:tc>
          <w:tcPr>
            <w:tcW w:w="7419" w:type="dxa"/>
          </w:tcPr>
          <w:p w14:paraId="6DACF272"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黑龙江龙煤宏泰国际贸易有限公司</w:t>
            </w:r>
          </w:p>
        </w:tc>
      </w:tr>
      <w:tr w14:paraId="5233A9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3" w:type="dxa"/>
            <w:shd w:val="clear" w:color="auto" w:fill="auto"/>
            <w:vAlign w:val="top"/>
          </w:tcPr>
          <w:p w14:paraId="20468160">
            <w:pPr>
              <w:rPr>
                <w:rFonts w:hint="eastAsia" w:ascii="黑体" w:hAnsi="黑体" w:eastAsia="黑体" w:cs="黑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开户银行</w:t>
            </w:r>
          </w:p>
        </w:tc>
        <w:tc>
          <w:tcPr>
            <w:tcW w:w="7419" w:type="dxa"/>
            <w:shd w:val="clear" w:color="auto" w:fill="auto"/>
            <w:vAlign w:val="top"/>
          </w:tcPr>
          <w:p w14:paraId="67AB352F">
            <w:pP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中国银行哈尔滨开发区支行</w:t>
            </w:r>
          </w:p>
        </w:tc>
      </w:tr>
      <w:tr w14:paraId="617526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3" w:type="dxa"/>
            <w:shd w:val="clear" w:color="auto" w:fill="auto"/>
            <w:vAlign w:val="top"/>
          </w:tcPr>
          <w:p w14:paraId="600A3900">
            <w:pPr>
              <w:rPr>
                <w:rFonts w:hint="eastAsia" w:ascii="黑体" w:hAnsi="黑体" w:eastAsia="黑体" w:cs="黑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2"/>
                <w:sz w:val="21"/>
                <w:szCs w:val="21"/>
                <w:vertAlign w:val="baseline"/>
                <w:lang w:val="en-US" w:eastAsia="zh-CN" w:bidi="ar-SA"/>
              </w:rPr>
              <w:t>银行账户</w:t>
            </w:r>
          </w:p>
        </w:tc>
        <w:tc>
          <w:tcPr>
            <w:tcW w:w="7419" w:type="dxa"/>
            <w:shd w:val="clear" w:color="auto" w:fill="auto"/>
            <w:vAlign w:val="top"/>
          </w:tcPr>
          <w:p w14:paraId="70F5136E">
            <w:pP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173965274962</w:t>
            </w:r>
          </w:p>
        </w:tc>
      </w:tr>
      <w:tr w14:paraId="11C898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3" w:type="dxa"/>
            <w:shd w:val="clear" w:color="auto" w:fill="auto"/>
            <w:vAlign w:val="top"/>
          </w:tcPr>
          <w:p w14:paraId="1ABEE254">
            <w:pPr>
              <w:rPr>
                <w:rFonts w:hint="default" w:ascii="黑体" w:hAnsi="黑体" w:eastAsia="黑体" w:cs="黑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2"/>
                <w:sz w:val="21"/>
                <w:szCs w:val="21"/>
                <w:vertAlign w:val="baseline"/>
                <w:lang w:val="en-US" w:eastAsia="zh-CN" w:bidi="ar-SA"/>
              </w:rPr>
              <w:t>备注</w:t>
            </w:r>
          </w:p>
        </w:tc>
        <w:tc>
          <w:tcPr>
            <w:tcW w:w="7419" w:type="dxa"/>
            <w:shd w:val="clear" w:color="auto" w:fill="auto"/>
            <w:vAlign w:val="top"/>
          </w:tcPr>
          <w:p w14:paraId="62D14D06">
            <w:pPr>
              <w:rPr>
                <w:rFonts w:hint="default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汇采商城订单履约保证金</w:t>
            </w:r>
          </w:p>
        </w:tc>
      </w:tr>
    </w:tbl>
    <w:p w14:paraId="46BDCEB3">
      <w:pPr>
        <w:pStyle w:val="3"/>
        <w:bidi w:val="0"/>
        <w:ind w:left="575" w:leftChars="0" w:hanging="575" w:firstLineChars="0"/>
        <w:rPr>
          <w:rFonts w:hint="eastAsia" w:ascii="Arial" w:hAnsi="Arial" w:eastAsia="黑体" w:cstheme="minorBidi"/>
          <w:b/>
          <w:kern w:val="2"/>
          <w:sz w:val="32"/>
          <w:szCs w:val="24"/>
          <w:lang w:val="en-US" w:eastAsia="zh-CN" w:bidi="ar-SA"/>
        </w:rPr>
      </w:pPr>
      <w:r>
        <w:rPr>
          <w:rFonts w:hint="eastAsia" w:cstheme="minorBidi"/>
          <w:b/>
          <w:kern w:val="2"/>
          <w:sz w:val="32"/>
          <w:szCs w:val="24"/>
          <w:lang w:val="en-US" w:eastAsia="zh-CN" w:bidi="ar-SA"/>
        </w:rPr>
        <w:t>订单商品发货</w:t>
      </w:r>
      <w:bookmarkEnd w:id="24"/>
    </w:p>
    <w:p w14:paraId="255FE7E0">
      <w:pPr>
        <w:numPr>
          <w:ilvl w:val="0"/>
          <w:numId w:val="13"/>
        </w:numPr>
        <w:ind w:left="0" w:leftChars="0"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备货与发货</w:t>
      </w:r>
    </w:p>
    <w:p w14:paraId="3C432750">
      <w:pPr>
        <w:pStyle w:val="12"/>
        <w:ind w:firstLine="560"/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供应商在订单列表中筛选查看“待发货”状态订单，根据订单采购明细载明的商品规格、数量、送货时间、订单附言等要求，合理组织备货、安排物流配送，确保商品符合中标标准及框架合同约定，严格按照送货时间按期交付，避免逾期。</w:t>
      </w:r>
    </w:p>
    <w:p w14:paraId="74D1B243">
      <w:pPr>
        <w:pStyle w:val="12"/>
        <w:ind w:firstLine="560"/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对于生产周期较长的物料，供应商需提前规划生产与发货时间，合理调配物流资源，提前做好备货准备，杜绝逾期发货情况发生。</w:t>
      </w:r>
    </w:p>
    <w:p w14:paraId="059D2CFC">
      <w:pPr>
        <w:numPr>
          <w:ilvl w:val="0"/>
          <w:numId w:val="13"/>
        </w:numPr>
        <w:ind w:left="0" w:leftChars="0"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发货凭证上传</w:t>
      </w:r>
    </w:p>
    <w:p w14:paraId="2AD5E891">
      <w:pPr>
        <w:pStyle w:val="12"/>
        <w:ind w:firstLine="560"/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供应商完成发货后，在订单列表中选择目标订单，点击【商品发货】按钮，进入商品发货快捷界面，上传物流单号、发货单、出库单等相关凭证（支持图片、PDF等格式），确保凭证信息真实、完整、清晰，且与订单信息、发货商品完全一致，不得上传虚假、无效凭证。</w:t>
      </w:r>
    </w:p>
    <w:p w14:paraId="627FCDC3">
      <w:pPr>
        <w:pStyle w:val="12"/>
        <w:ind w:firstLine="560"/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凭证上传完成并提交后，订单状态自动变更为“待收货”，系统同步发送收货通知至采购商，供应商可通过订单详情页实时跟踪物流进度及采购商收货状态。</w:t>
      </w:r>
    </w:p>
    <w:p w14:paraId="2DDF811E">
      <w:pPr>
        <w:numPr>
          <w:ilvl w:val="0"/>
          <w:numId w:val="13"/>
        </w:numPr>
        <w:ind w:left="0" w:leftChars="0"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超时提醒说明</w:t>
      </w:r>
    </w:p>
    <w:p w14:paraId="0C3C6312">
      <w:pPr>
        <w:pStyle w:val="12"/>
        <w:ind w:firstLine="560"/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系统将依据后台预设的天数，对“待发货”状态订单自动发送超时未发货提醒，提醒供应商及时处理订单、安排发货，避免逾期履约。供应商需密切关注系统提醒信息，确保按期完成发货，避免因逾期影响业务合作及信用评价。</w:t>
      </w:r>
    </w:p>
    <w:p w14:paraId="7B1DE448">
      <w:pPr>
        <w:pStyle w:val="3"/>
        <w:bidi w:val="0"/>
        <w:ind w:left="575" w:leftChars="0" w:hanging="575" w:firstLineChars="0"/>
        <w:rPr>
          <w:rFonts w:hint="eastAsia" w:ascii="Arial" w:hAnsi="Arial" w:eastAsia="黑体" w:cstheme="minorBidi"/>
          <w:b/>
          <w:kern w:val="2"/>
          <w:sz w:val="32"/>
          <w:szCs w:val="24"/>
          <w:lang w:val="en-US" w:eastAsia="zh-CN" w:bidi="ar-SA"/>
        </w:rPr>
      </w:pPr>
      <w:bookmarkStart w:id="25" w:name="_Toc5717"/>
      <w:r>
        <w:rPr>
          <w:rFonts w:hint="eastAsia" w:cstheme="minorBidi"/>
          <w:b/>
          <w:kern w:val="2"/>
          <w:sz w:val="32"/>
          <w:szCs w:val="24"/>
          <w:lang w:val="en-US" w:eastAsia="zh-CN" w:bidi="ar-SA"/>
        </w:rPr>
        <w:t>订单月度结算</w:t>
      </w:r>
      <w:bookmarkEnd w:id="25"/>
    </w:p>
    <w:p w14:paraId="186814B0">
      <w:pPr>
        <w:pStyle w:val="12"/>
        <w:ind w:firstLine="560"/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平台依据</w:t>
      </w:r>
      <w:r>
        <w:rPr>
          <w:rFonts w:hint="eastAsia"/>
          <w:lang w:val="en-US" w:eastAsia="zh-CN"/>
        </w:rPr>
        <w:t>汇采商城</w:t>
      </w:r>
      <w:r>
        <w:rPr>
          <w:rFonts w:hint="eastAsia" w:eastAsia="宋体"/>
          <w:lang w:val="en-US" w:eastAsia="zh-CN"/>
        </w:rPr>
        <w:t>采购商</w:t>
      </w:r>
      <w:r>
        <w:rPr>
          <w:rFonts w:hint="eastAsia"/>
          <w:lang w:val="en-US" w:eastAsia="zh-CN"/>
        </w:rPr>
        <w:t>龙煤集团物资管理系统（即NCC系统）</w:t>
      </w:r>
      <w:r>
        <w:rPr>
          <w:rFonts w:hint="eastAsia" w:eastAsia="宋体"/>
          <w:lang w:val="en-US" w:eastAsia="zh-CN"/>
        </w:rPr>
        <w:t>内上月商品实际消耗数据进行月度结算，遵循先购买先消耗原则，全程完成结算合同签署、开票缴费、货款支付及质保金挂账全流程业务办理，确保结算工作合规、高效、有序。</w:t>
      </w:r>
    </w:p>
    <w:p w14:paraId="096CD28C">
      <w:pPr>
        <w:pStyle w:val="4"/>
      </w:pPr>
      <w:bookmarkStart w:id="26" w:name="_Toc28912"/>
      <w:r>
        <w:rPr>
          <w:rFonts w:hint="eastAsia"/>
          <w:lang w:val="en-US" w:eastAsia="zh-CN"/>
        </w:rPr>
        <w:t>结算合同签署</w:t>
      </w:r>
      <w:bookmarkEnd w:id="26"/>
    </w:p>
    <w:p w14:paraId="70BD3F71">
      <w:pPr>
        <w:pStyle w:val="12"/>
        <w:ind w:firstLine="560"/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月度结算数据生成后，供应商在订单管理-订单列表中选择目标订单，点击【</w:t>
      </w:r>
      <w:r>
        <w:rPr>
          <w:rFonts w:hint="eastAsia"/>
          <w:lang w:val="en-US" w:eastAsia="zh-CN"/>
        </w:rPr>
        <w:t>签署合同</w:t>
      </w:r>
      <w:r>
        <w:rPr>
          <w:rFonts w:hint="eastAsia" w:eastAsia="宋体"/>
          <w:lang w:val="en-US" w:eastAsia="zh-CN"/>
        </w:rPr>
        <w:t>】按钮，进入签署结算合同快捷界面，可查看当期月度结算明细及系统自动生成的结算合同。供应商需仔细核对结算商品、规格、数量、金额、消耗周期等信息，确认无误后，完成结算合同的确认及签署操作。</w:t>
      </w:r>
    </w:p>
    <w:p w14:paraId="057B05A2">
      <w:pPr>
        <w:pStyle w:val="12"/>
        <w:ind w:firstLine="560"/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结算合同签署生效后，将作为后续开具发票、缴纳交易服务费、支付货款的唯一合法依据，不得随意变更。</w:t>
      </w:r>
    </w:p>
    <w:p w14:paraId="66049EA7">
      <w:pPr>
        <w:pStyle w:val="4"/>
        <w:rPr>
          <w:rFonts w:hint="eastAsia"/>
          <w:lang w:val="en-US" w:eastAsia="zh-CN"/>
        </w:rPr>
      </w:pPr>
      <w:bookmarkStart w:id="27" w:name="_Toc25348"/>
      <w:r>
        <w:rPr>
          <w:rFonts w:hint="eastAsia"/>
          <w:lang w:val="en-US" w:eastAsia="zh-CN"/>
        </w:rPr>
        <w:t>开具发票与缴纳交易服务费</w:t>
      </w:r>
      <w:bookmarkEnd w:id="27"/>
    </w:p>
    <w:p w14:paraId="091A1A8F">
      <w:pPr>
        <w:pStyle w:val="12"/>
        <w:ind w:firstLine="560"/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供应商在订单管理-订单列表中选择目标订单，点击【开具发票】按钮，进入开具发票快捷界面，依据已签署的结算合同载明的金额，按国家税收相关规定开具合规的增值税专用发票，并按</w:t>
      </w:r>
      <w:r>
        <w:rPr>
          <w:rFonts w:hint="eastAsia"/>
          <w:lang w:val="en-US" w:eastAsia="zh-CN"/>
        </w:rPr>
        <w:t>龙煤宏泰相关制度</w:t>
      </w:r>
      <w:r>
        <w:rPr>
          <w:rFonts w:hint="eastAsia" w:eastAsia="宋体"/>
          <w:lang w:val="en-US" w:eastAsia="zh-CN"/>
        </w:rPr>
        <w:t>缴纳对应发票金额的交易服务费。</w:t>
      </w:r>
    </w:p>
    <w:p w14:paraId="7CA60970">
      <w:pPr>
        <w:pStyle w:val="12"/>
        <w:ind w:firstLine="560"/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完成发票开具及交易服务费缴纳后，再次进入开具发票快捷界面，上传发票电子版、交易服务费缴纳凭证，提交平台运营管理员及财务人员审核，审核通过后方可进入下一步结算流程。</w:t>
      </w:r>
    </w:p>
    <w:p w14:paraId="15FDDC8F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发票开具相关信息：</w:t>
      </w:r>
    </w:p>
    <w:tbl>
      <w:tblPr>
        <w:tblStyle w:val="1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3"/>
        <w:gridCol w:w="7419"/>
      </w:tblGrid>
      <w:tr w14:paraId="14AAEE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3" w:type="dxa"/>
          </w:tcPr>
          <w:p w14:paraId="77DB9F82">
            <w:pP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发票类型</w:t>
            </w:r>
          </w:p>
        </w:tc>
        <w:tc>
          <w:tcPr>
            <w:tcW w:w="7419" w:type="dxa"/>
          </w:tcPr>
          <w:p w14:paraId="76F27DB9">
            <w:pPr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增值税专用发票</w:t>
            </w:r>
          </w:p>
        </w:tc>
      </w:tr>
      <w:tr w14:paraId="465AB0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3" w:type="dxa"/>
          </w:tcPr>
          <w:p w14:paraId="743E6F85">
            <w:pPr>
              <w:rPr>
                <w:rFonts w:hint="default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发票内容</w:t>
            </w:r>
          </w:p>
        </w:tc>
        <w:tc>
          <w:tcPr>
            <w:tcW w:w="7419" w:type="dxa"/>
          </w:tcPr>
          <w:p w14:paraId="00DFE93C">
            <w:pPr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商品明细</w:t>
            </w:r>
          </w:p>
        </w:tc>
      </w:tr>
      <w:tr w14:paraId="3C2D7D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3" w:type="dxa"/>
          </w:tcPr>
          <w:p w14:paraId="18489545">
            <w:pP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名称</w:t>
            </w:r>
          </w:p>
        </w:tc>
        <w:tc>
          <w:tcPr>
            <w:tcW w:w="7419" w:type="dxa"/>
          </w:tcPr>
          <w:p w14:paraId="792FB83E"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黑龙江龙煤宏泰国际贸易有限公司</w:t>
            </w:r>
          </w:p>
        </w:tc>
      </w:tr>
      <w:tr w14:paraId="7D663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3" w:type="dxa"/>
          </w:tcPr>
          <w:p w14:paraId="2D2A3058">
            <w:pP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税号</w:t>
            </w:r>
          </w:p>
        </w:tc>
        <w:tc>
          <w:tcPr>
            <w:tcW w:w="7419" w:type="dxa"/>
          </w:tcPr>
          <w:p w14:paraId="6C302EA5"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91230199591937152K</w:t>
            </w:r>
          </w:p>
        </w:tc>
      </w:tr>
      <w:tr w14:paraId="75F5D5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3" w:type="dxa"/>
          </w:tcPr>
          <w:p w14:paraId="22BE03CC">
            <w:pP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单位地址</w:t>
            </w:r>
          </w:p>
        </w:tc>
        <w:tc>
          <w:tcPr>
            <w:tcW w:w="7419" w:type="dxa"/>
          </w:tcPr>
          <w:p w14:paraId="1CBAAA4A"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哈尔滨经开区南岗集中区汉水路98号哈尔滨软件园小区A-1-2栋1-6层11号门市</w:t>
            </w:r>
          </w:p>
        </w:tc>
      </w:tr>
      <w:tr w14:paraId="36E2B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3" w:type="dxa"/>
            <w:shd w:val="clear" w:color="auto" w:fill="auto"/>
            <w:vAlign w:val="top"/>
          </w:tcPr>
          <w:p w14:paraId="4129A3C2">
            <w:pPr>
              <w:rPr>
                <w:rFonts w:hint="eastAsia" w:ascii="黑体" w:hAnsi="黑体" w:eastAsia="黑体" w:cs="黑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电话</w:t>
            </w:r>
          </w:p>
        </w:tc>
        <w:tc>
          <w:tcPr>
            <w:tcW w:w="7419" w:type="dxa"/>
            <w:shd w:val="clear" w:color="auto" w:fill="auto"/>
            <w:vAlign w:val="top"/>
          </w:tcPr>
          <w:p w14:paraId="228133C0">
            <w:pP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0451-58797565</w:t>
            </w:r>
          </w:p>
        </w:tc>
      </w:tr>
      <w:tr w14:paraId="4EC8EA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3" w:type="dxa"/>
            <w:shd w:val="clear" w:color="auto" w:fill="auto"/>
            <w:vAlign w:val="top"/>
          </w:tcPr>
          <w:p w14:paraId="019645C6">
            <w:pPr>
              <w:rPr>
                <w:rFonts w:hint="eastAsia" w:ascii="黑体" w:hAnsi="黑体" w:eastAsia="黑体" w:cs="黑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开户银行</w:t>
            </w:r>
          </w:p>
        </w:tc>
        <w:tc>
          <w:tcPr>
            <w:tcW w:w="7419" w:type="dxa"/>
            <w:shd w:val="clear" w:color="auto" w:fill="auto"/>
            <w:vAlign w:val="top"/>
          </w:tcPr>
          <w:p w14:paraId="3D0B281B">
            <w:pP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中国银行哈尔滨开发区支行</w:t>
            </w:r>
          </w:p>
        </w:tc>
      </w:tr>
      <w:tr w14:paraId="54EC4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3" w:type="dxa"/>
            <w:shd w:val="clear" w:color="auto" w:fill="auto"/>
            <w:vAlign w:val="top"/>
          </w:tcPr>
          <w:p w14:paraId="271F46DB">
            <w:pPr>
              <w:rPr>
                <w:rFonts w:hint="eastAsia" w:ascii="黑体" w:hAnsi="黑体" w:eastAsia="黑体" w:cs="黑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2"/>
                <w:sz w:val="21"/>
                <w:szCs w:val="21"/>
                <w:vertAlign w:val="baseline"/>
                <w:lang w:val="en-US" w:eastAsia="zh-CN" w:bidi="ar-SA"/>
              </w:rPr>
              <w:t>银行账户</w:t>
            </w:r>
          </w:p>
        </w:tc>
        <w:tc>
          <w:tcPr>
            <w:tcW w:w="7419" w:type="dxa"/>
            <w:shd w:val="clear" w:color="auto" w:fill="auto"/>
            <w:vAlign w:val="top"/>
          </w:tcPr>
          <w:p w14:paraId="0DB42967">
            <w:pP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173965274962</w:t>
            </w:r>
          </w:p>
        </w:tc>
      </w:tr>
    </w:tbl>
    <w:p w14:paraId="5D9D662C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交易服务费汇款户名、开户行及账号</w:t>
      </w:r>
    </w:p>
    <w:tbl>
      <w:tblPr>
        <w:tblStyle w:val="1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3"/>
        <w:gridCol w:w="7419"/>
      </w:tblGrid>
      <w:tr w14:paraId="45A04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3" w:type="dxa"/>
          </w:tcPr>
          <w:p w14:paraId="0BA225EF">
            <w:pP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名称</w:t>
            </w:r>
          </w:p>
        </w:tc>
        <w:tc>
          <w:tcPr>
            <w:tcW w:w="7419" w:type="dxa"/>
          </w:tcPr>
          <w:p w14:paraId="1D6698ED"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黑龙江龙煤宏泰国际贸易有限公司</w:t>
            </w:r>
          </w:p>
        </w:tc>
      </w:tr>
      <w:tr w14:paraId="309AD3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3" w:type="dxa"/>
            <w:shd w:val="clear" w:color="auto" w:fill="auto"/>
            <w:vAlign w:val="top"/>
          </w:tcPr>
          <w:p w14:paraId="4F2ADBAF">
            <w:pPr>
              <w:rPr>
                <w:rFonts w:hint="eastAsia" w:ascii="黑体" w:hAnsi="黑体" w:eastAsia="黑体" w:cs="黑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开户银行</w:t>
            </w:r>
          </w:p>
        </w:tc>
        <w:tc>
          <w:tcPr>
            <w:tcW w:w="7419" w:type="dxa"/>
            <w:shd w:val="clear" w:color="auto" w:fill="auto"/>
            <w:vAlign w:val="top"/>
          </w:tcPr>
          <w:p w14:paraId="347F1252">
            <w:pP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中国银行哈尔滨开发区支行</w:t>
            </w:r>
          </w:p>
        </w:tc>
      </w:tr>
      <w:tr w14:paraId="5F4C4D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3" w:type="dxa"/>
            <w:shd w:val="clear" w:color="auto" w:fill="auto"/>
            <w:vAlign w:val="top"/>
          </w:tcPr>
          <w:p w14:paraId="5B20865A">
            <w:pPr>
              <w:rPr>
                <w:rFonts w:hint="eastAsia" w:ascii="黑体" w:hAnsi="黑体" w:eastAsia="黑体" w:cs="黑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2"/>
                <w:sz w:val="21"/>
                <w:szCs w:val="21"/>
                <w:vertAlign w:val="baseline"/>
                <w:lang w:val="en-US" w:eastAsia="zh-CN" w:bidi="ar-SA"/>
              </w:rPr>
              <w:t>银行账户</w:t>
            </w:r>
          </w:p>
        </w:tc>
        <w:tc>
          <w:tcPr>
            <w:tcW w:w="7419" w:type="dxa"/>
            <w:shd w:val="clear" w:color="auto" w:fill="auto"/>
            <w:vAlign w:val="top"/>
          </w:tcPr>
          <w:p w14:paraId="1289A8C7">
            <w:pP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173965274962</w:t>
            </w:r>
          </w:p>
        </w:tc>
      </w:tr>
      <w:tr w14:paraId="4CB81A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3" w:type="dxa"/>
            <w:shd w:val="clear" w:color="auto" w:fill="auto"/>
            <w:vAlign w:val="top"/>
          </w:tcPr>
          <w:p w14:paraId="3E7A8290">
            <w:pPr>
              <w:rPr>
                <w:rFonts w:hint="default" w:ascii="黑体" w:hAnsi="黑体" w:eastAsia="黑体" w:cs="黑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2"/>
                <w:sz w:val="21"/>
                <w:szCs w:val="21"/>
                <w:vertAlign w:val="baseline"/>
                <w:lang w:val="en-US" w:eastAsia="zh-CN" w:bidi="ar-SA"/>
              </w:rPr>
              <w:t>备注</w:t>
            </w:r>
          </w:p>
        </w:tc>
        <w:tc>
          <w:tcPr>
            <w:tcW w:w="7419" w:type="dxa"/>
            <w:shd w:val="clear" w:color="auto" w:fill="auto"/>
            <w:vAlign w:val="top"/>
          </w:tcPr>
          <w:p w14:paraId="10B0A742">
            <w:pPr>
              <w:rPr>
                <w:rFonts w:hint="default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汇采商城交易服务费（年-月）</w:t>
            </w:r>
          </w:p>
        </w:tc>
      </w:tr>
    </w:tbl>
    <w:p w14:paraId="427A66B3">
      <w:pPr>
        <w:rPr>
          <w:rFonts w:hint="eastAsia"/>
          <w:lang w:val="en-US" w:eastAsia="zh-CN"/>
        </w:rPr>
      </w:pPr>
    </w:p>
    <w:p w14:paraId="54B0621F">
      <w:pPr>
        <w:pStyle w:val="4"/>
        <w:rPr>
          <w:rFonts w:hint="eastAsia"/>
          <w:lang w:val="en-US" w:eastAsia="zh-CN"/>
        </w:rPr>
      </w:pPr>
      <w:bookmarkStart w:id="28" w:name="_Toc9933"/>
      <w:r>
        <w:rPr>
          <w:rFonts w:hint="eastAsia"/>
          <w:lang w:val="en-US" w:eastAsia="zh-CN"/>
        </w:rPr>
        <w:t>货款结算</w:t>
      </w:r>
      <w:bookmarkEnd w:id="28"/>
    </w:p>
    <w:p w14:paraId="5F6B836A">
      <w:pPr>
        <w:pStyle w:val="12"/>
        <w:ind w:firstLine="560"/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平台运营管理员及财务人员对供应商提交的增值税发票、交易服务费缴纳凭证进行审核，审核无误后，按照平台</w:t>
      </w:r>
      <w:r>
        <w:rPr>
          <w:rFonts w:hint="eastAsia"/>
          <w:lang w:val="en-US" w:eastAsia="zh-CN"/>
        </w:rPr>
        <w:t>当期结算采购合同</w:t>
      </w:r>
      <w:r>
        <w:rPr>
          <w:rFonts w:hint="eastAsia" w:eastAsia="宋体"/>
          <w:lang w:val="en-US" w:eastAsia="zh-CN"/>
        </w:rPr>
        <w:t>结算规则及比例，</w:t>
      </w:r>
      <w:r>
        <w:rPr>
          <w:rFonts w:hint="eastAsia"/>
          <w:lang w:val="en-US" w:eastAsia="zh-CN"/>
        </w:rPr>
        <w:t>进行当期货款结算</w:t>
      </w:r>
      <w:r>
        <w:rPr>
          <w:rFonts w:hint="eastAsia" w:eastAsia="宋体"/>
          <w:lang w:val="en-US" w:eastAsia="zh-CN"/>
        </w:rPr>
        <w:t>，完成月度货款结算兑付工作。</w:t>
      </w:r>
    </w:p>
    <w:p w14:paraId="1BB2AE9B">
      <w:pPr>
        <w:pStyle w:val="12"/>
        <w:ind w:firstLine="560"/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结算全过程数据实时留痕，供应商可通过订单详情页的结算信息，随时查询结算明细、货款付款记录及历史结算台账，确保结算信息透明可追溯。</w:t>
      </w:r>
    </w:p>
    <w:p w14:paraId="7AA86715">
      <w:pPr>
        <w:pStyle w:val="4"/>
        <w:rPr>
          <w:rFonts w:hint="eastAsia"/>
          <w:lang w:val="en-US" w:eastAsia="zh-CN"/>
        </w:rPr>
      </w:pPr>
      <w:bookmarkStart w:id="29" w:name="_Toc28246"/>
      <w:r>
        <w:rPr>
          <w:rFonts w:hint="eastAsia"/>
          <w:lang w:val="en-US" w:eastAsia="zh-CN"/>
        </w:rPr>
        <w:t>质保金结算</w:t>
      </w:r>
      <w:bookmarkEnd w:id="29"/>
    </w:p>
    <w:p w14:paraId="6EDF729C">
      <w:pPr>
        <w:pStyle w:val="12"/>
        <w:ind w:firstLine="560"/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月度结算时，</w:t>
      </w:r>
      <w:r>
        <w:rPr>
          <w:rFonts w:hint="eastAsia"/>
          <w:lang w:val="en-US" w:eastAsia="zh-CN"/>
        </w:rPr>
        <w:t>按照</w:t>
      </w:r>
      <w:r>
        <w:rPr>
          <w:rFonts w:hint="eastAsia" w:eastAsia="宋体"/>
          <w:lang w:val="en-US" w:eastAsia="zh-CN"/>
        </w:rPr>
        <w:t>平台</w:t>
      </w:r>
      <w:r>
        <w:rPr>
          <w:rFonts w:hint="default"/>
          <w:lang w:val="en-US" w:eastAsia="zh-CN"/>
        </w:rPr>
        <w:t>当期结算采购合同</w:t>
      </w:r>
      <w:r>
        <w:rPr>
          <w:rFonts w:hint="eastAsia" w:eastAsia="宋体"/>
          <w:lang w:val="en-US" w:eastAsia="zh-CN"/>
        </w:rPr>
        <w:t>既定规则</w:t>
      </w:r>
      <w:r>
        <w:rPr>
          <w:rFonts w:hint="eastAsia"/>
          <w:lang w:val="en-US" w:eastAsia="zh-CN"/>
        </w:rPr>
        <w:t>及比例，从当期结算总金额中暂扣对应账款作为质保金</w:t>
      </w:r>
      <w:r>
        <w:rPr>
          <w:rFonts w:hint="eastAsia" w:eastAsia="宋体"/>
          <w:lang w:val="en-US" w:eastAsia="zh-CN"/>
        </w:rPr>
        <w:t>，进行挂账管理，用于保障商品质量及履约合规。</w:t>
      </w:r>
    </w:p>
    <w:p w14:paraId="7E81CF64">
      <w:pPr>
        <w:pStyle w:val="12"/>
        <w:ind w:firstLine="560"/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质保金挂账期满1年后，平台将按照结算规则比例，逐月向供应商支付预留的质保金，确保质保金结算规范、及时。</w:t>
      </w:r>
    </w:p>
    <w:p w14:paraId="3583ECDC">
      <w:pPr>
        <w:pStyle w:val="3"/>
        <w:bidi w:val="0"/>
        <w:ind w:left="575" w:leftChars="0" w:hanging="575" w:firstLineChars="0"/>
        <w:rPr>
          <w:rFonts w:hint="eastAsia" w:ascii="Arial" w:hAnsi="Arial" w:eastAsia="黑体" w:cstheme="minorBidi"/>
          <w:b/>
          <w:kern w:val="2"/>
          <w:sz w:val="32"/>
          <w:szCs w:val="24"/>
          <w:lang w:val="en-US" w:eastAsia="zh-CN" w:bidi="ar-SA"/>
        </w:rPr>
      </w:pPr>
      <w:bookmarkStart w:id="30" w:name="_Toc31803"/>
      <w:r>
        <w:rPr>
          <w:rFonts w:hint="eastAsia" w:cstheme="minorBidi"/>
          <w:b/>
          <w:kern w:val="2"/>
          <w:sz w:val="32"/>
          <w:szCs w:val="24"/>
          <w:lang w:val="en-US" w:eastAsia="zh-CN" w:bidi="ar-SA"/>
        </w:rPr>
        <w:t>订单跟踪</w:t>
      </w:r>
      <w:bookmarkEnd w:id="30"/>
    </w:p>
    <w:p w14:paraId="64B40847">
      <w:pPr>
        <w:pStyle w:val="12"/>
        <w:ind w:firstLine="560"/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供应商可通过订单管理-订单列表及订单详情页，实时跟踪订单从“待发货”到“已完成”的全流程进度，包括采购商收货状态、结算合同签署进度、发票审核状态、货款支付状态、质保金挂账及支付状态等，及时掌握订单履约全环节情况。</w:t>
      </w:r>
    </w:p>
    <w:p w14:paraId="0BA929F3">
      <w:pPr>
        <w:pStyle w:val="12"/>
        <w:ind w:firstLine="560"/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若采购商未按约定时间确认收货，供应商可联系平台运营管理员，由管理员沟通督促采购商完成收货确认，确保订单履约流程顺畅推进。</w:t>
      </w:r>
    </w:p>
    <w:p w14:paraId="54EF6E71">
      <w:pPr>
        <w:pStyle w:val="2"/>
        <w:bidi w:val="0"/>
        <w:ind w:left="432" w:leftChars="0" w:hanging="432" w:firstLineChars="0"/>
        <w:rPr>
          <w:rFonts w:hint="default"/>
          <w:lang w:val="en-US" w:eastAsia="zh-CN"/>
        </w:rPr>
      </w:pPr>
      <w:bookmarkStart w:id="31" w:name="_Toc3455"/>
      <w:r>
        <w:rPr>
          <w:rFonts w:hint="eastAsia"/>
          <w:lang w:val="en-US" w:eastAsia="zh-CN"/>
        </w:rPr>
        <w:t>账户设置</w:t>
      </w:r>
      <w:bookmarkEnd w:id="31"/>
    </w:p>
    <w:p w14:paraId="2B52EC71">
      <w:pPr>
        <w:pStyle w:val="12"/>
        <w:ind w:firstLine="560"/>
        <w:rPr>
          <w:rFonts w:hint="default" w:eastAsia="宋体"/>
          <w:lang w:val="en-US" w:eastAsia="zh-CN"/>
        </w:rPr>
      </w:pPr>
      <w:r>
        <w:rPr>
          <w:rFonts w:hint="default" w:eastAsia="宋体"/>
          <w:lang w:val="en-US" w:eastAsia="zh-CN"/>
        </w:rPr>
        <w:t>账户设置用于供应商对企业基础信息、管理员账号进行统一管理，确保企业信息真实准确、管理员分配合理，保障账号安全及业务顺利开展。所有操作需严格遵循平台运营规则，信息修改后需经平台审核通过方可生效。</w:t>
      </w:r>
    </w:p>
    <w:p w14:paraId="6A201D6B">
      <w:pPr>
        <w:pStyle w:val="3"/>
      </w:pPr>
      <w:bookmarkStart w:id="32" w:name="_Toc12171"/>
      <w:r>
        <w:rPr>
          <w:rFonts w:hint="eastAsia"/>
          <w:lang w:val="en-US" w:eastAsia="zh-CN"/>
        </w:rPr>
        <w:t>企业信息</w:t>
      </w:r>
      <w:bookmarkEnd w:id="32"/>
    </w:p>
    <w:p w14:paraId="4C1DE181">
      <w:pPr>
        <w:pStyle w:val="12"/>
        <w:ind w:firstLine="560"/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企业信息模块用于供应商查看、编辑、完善企业基础信息及资质材料，确保企业信息与实际情况、中标主体一致，为合同签署、结算付款、业务合作提供合法依据。</w:t>
      </w:r>
    </w:p>
    <w:p w14:paraId="19B5BE2A">
      <w:pPr>
        <w:pStyle w:val="4"/>
      </w:pPr>
      <w:bookmarkStart w:id="33" w:name="_Toc29641"/>
      <w:r>
        <w:rPr>
          <w:rFonts w:hint="eastAsia"/>
          <w:lang w:val="en-US" w:eastAsia="zh-CN"/>
        </w:rPr>
        <w:t>企业信息查看</w:t>
      </w:r>
      <w:bookmarkEnd w:id="33"/>
    </w:p>
    <w:p w14:paraId="227565DE">
      <w:pPr>
        <w:pStyle w:val="12"/>
        <w:ind w:firstLine="560"/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供应商登录系统后，进入账户设置-企业信息界面，系统自动展示已录入的基本信息、联系人信息和</w:t>
      </w:r>
      <w:r>
        <w:rPr>
          <w:rFonts w:hint="eastAsia"/>
          <w:lang w:val="en-US" w:eastAsia="zh-CN"/>
        </w:rPr>
        <w:t>银行</w:t>
      </w:r>
      <w:r>
        <w:rPr>
          <w:rFonts w:hint="eastAsia" w:eastAsia="宋体"/>
          <w:lang w:val="en-US" w:eastAsia="zh-CN"/>
        </w:rPr>
        <w:t>账户发票等相关企业信息，直观呈现企业完整信息。</w:t>
      </w:r>
    </w:p>
    <w:p w14:paraId="27AA9478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企业信息：企业名称、统一社会信用代码、企业类型、注册资金、注册地址、经营范围、企业资质附件等信息；</w:t>
      </w:r>
    </w:p>
    <w:p w14:paraId="0782153B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法人信息：证件类型、法人身份证件正反面、法定代表人姓名、身份证号码、证件有效期限、法人联系方式、销售经理姓名及联系方式，业务联系人姓名及联系方式；</w:t>
      </w:r>
    </w:p>
    <w:p w14:paraId="4593FB89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银行账户信息：收款银行信息和发票信息，涵盖发票类型、企业名称、纳税人识别号、开户银行、基本开户账号、注册地址、电话、承兑汇票账号。</w:t>
      </w:r>
    </w:p>
    <w:p w14:paraId="6CF52E2F">
      <w:pPr>
        <w:pStyle w:val="4"/>
        <w:rPr>
          <w:rFonts w:hint="eastAsia" w:asciiTheme="minorAscii" w:hAnsiTheme="minorAscii" w:eastAsiaTheme="minorEastAsia" w:cstheme="minorBidi"/>
          <w:b/>
          <w:kern w:val="2"/>
          <w:sz w:val="28"/>
          <w:szCs w:val="24"/>
          <w:lang w:val="en-US" w:eastAsia="zh-CN" w:bidi="ar-SA"/>
        </w:rPr>
      </w:pPr>
      <w:bookmarkStart w:id="34" w:name="_Toc25627"/>
      <w:r>
        <w:rPr>
          <w:rFonts w:hint="eastAsia" w:cstheme="minorBidi"/>
          <w:b/>
          <w:kern w:val="2"/>
          <w:sz w:val="28"/>
          <w:szCs w:val="24"/>
          <w:lang w:val="en-US" w:eastAsia="zh-CN" w:bidi="ar-SA"/>
        </w:rPr>
        <w:t>企业信息编辑</w:t>
      </w:r>
      <w:bookmarkEnd w:id="34"/>
    </w:p>
    <w:p w14:paraId="1A3EB5FD">
      <w:pPr>
        <w:pStyle w:val="12"/>
        <w:ind w:firstLine="560"/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若企业信息发生变更，可在企业信息界面对相关信息进行修改，信息编辑完成后，点击【提交】按钮，将修改后的企业信息及资质材料提交至平台运营管理员审核。审核期间，企业信息处于“待审核”状态，不可再次修改；审核通过后，信息即时生效；审核未通过的，可根据驳回原因修改后重新提交审核。</w:t>
      </w:r>
    </w:p>
    <w:p w14:paraId="7C57CA5B">
      <w:pPr>
        <w:pStyle w:val="2"/>
        <w:bidi w:val="0"/>
        <w:ind w:left="432" w:leftChars="0" w:hanging="432" w:firstLineChars="0"/>
        <w:rPr>
          <w:rFonts w:hint="default"/>
          <w:lang w:val="en-US" w:eastAsia="zh-CN"/>
        </w:rPr>
      </w:pPr>
      <w:bookmarkStart w:id="35" w:name="_Toc27189"/>
      <w:r>
        <w:rPr>
          <w:rFonts w:hint="eastAsia"/>
          <w:lang w:val="en-US" w:eastAsia="zh-CN"/>
        </w:rPr>
        <w:t>资金管理</w:t>
      </w:r>
      <w:bookmarkEnd w:id="35"/>
    </w:p>
    <w:p w14:paraId="0E73A9E4">
      <w:pPr>
        <w:pStyle w:val="12"/>
        <w:ind w:firstLine="560"/>
        <w:rPr>
          <w:rFonts w:hint="default" w:eastAsia="宋体"/>
          <w:lang w:val="en-US" w:eastAsia="zh-CN"/>
        </w:rPr>
      </w:pPr>
      <w:r>
        <w:rPr>
          <w:rFonts w:hint="default" w:eastAsia="宋体"/>
          <w:lang w:val="en-US" w:eastAsia="zh-CN"/>
        </w:rPr>
        <w:t>资金管理用于供应商对平台质保金进行全流程管理，支持账户质保金基本信息、质保金</w:t>
      </w:r>
      <w:r>
        <w:rPr>
          <w:rFonts w:hint="eastAsia"/>
          <w:lang w:val="en-US" w:eastAsia="zh-CN"/>
        </w:rPr>
        <w:t>计提</w:t>
      </w:r>
      <w:r>
        <w:rPr>
          <w:rFonts w:hint="default" w:eastAsia="宋体"/>
          <w:lang w:val="en-US" w:eastAsia="zh-CN"/>
        </w:rPr>
        <w:t>明细、质保金返还</w:t>
      </w:r>
      <w:r>
        <w:rPr>
          <w:rFonts w:hint="eastAsia"/>
          <w:lang w:val="en-US" w:eastAsia="zh-CN"/>
        </w:rPr>
        <w:t>支付</w:t>
      </w:r>
      <w:r>
        <w:rPr>
          <w:rFonts w:hint="default" w:eastAsia="宋体"/>
          <w:lang w:val="en-US" w:eastAsia="zh-CN"/>
        </w:rPr>
        <w:t>信息在线查询，同时提供订单结转申请办理功能，方便供应商实时掌握质保金余额、</w:t>
      </w:r>
      <w:r>
        <w:rPr>
          <w:rFonts w:hint="eastAsia"/>
          <w:lang w:val="en-US" w:eastAsia="zh-CN"/>
        </w:rPr>
        <w:t>计提</w:t>
      </w:r>
      <w:r>
        <w:rPr>
          <w:rFonts w:hint="default" w:eastAsia="宋体"/>
          <w:lang w:val="en-US" w:eastAsia="zh-CN"/>
        </w:rPr>
        <w:t>明细、</w:t>
      </w:r>
      <w:r>
        <w:rPr>
          <w:rFonts w:hint="eastAsia"/>
          <w:lang w:val="en-US" w:eastAsia="zh-CN"/>
        </w:rPr>
        <w:t>支付</w:t>
      </w:r>
      <w:r>
        <w:rPr>
          <w:rFonts w:hint="default" w:eastAsia="宋体"/>
          <w:lang w:val="en-US" w:eastAsia="zh-CN"/>
        </w:rPr>
        <w:t>进度及结转额度使用情况，确保资金管理透明、合规、高效。</w:t>
      </w:r>
    </w:p>
    <w:p w14:paraId="34031D00">
      <w:pPr>
        <w:pStyle w:val="3"/>
      </w:pPr>
      <w:bookmarkStart w:id="36" w:name="_Toc4442"/>
      <w:r>
        <w:rPr>
          <w:rFonts w:hint="eastAsia"/>
          <w:lang w:val="en-US" w:eastAsia="zh-CN"/>
        </w:rPr>
        <w:t>账户资金查看</w:t>
      </w:r>
      <w:bookmarkEnd w:id="36"/>
    </w:p>
    <w:p w14:paraId="20AAE2B6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/>
        <w:textAlignment w:val="auto"/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供应商登录系统后，进入资金管理-账户资金界面，可全面查看企业在平台账户资金的整体概况、详细信息及相关记录，直观掌握资金整体状况，便于账务核对与管理。</w:t>
      </w:r>
    </w:p>
    <w:p w14:paraId="2F06AB82">
      <w:pPr>
        <w:keepNext w:val="0"/>
        <w:keepLines w:val="0"/>
        <w:pageBreakBefore w:val="0"/>
        <w:widowControl w:val="0"/>
        <w:numPr>
          <w:ilvl w:val="0"/>
          <w:numId w:val="1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账户订单结转与质保金概览</w:t>
      </w:r>
    </w:p>
    <w:p w14:paraId="7A68EBE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界面顶部直观展示核心资金数据，快速掌握关键额度信息，具体如下：</w:t>
      </w:r>
    </w:p>
    <w:p w14:paraId="3E0DEC58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订单结转金额：当前可正常使用的订单结转金额，可用于平台内后续交易场景；</w:t>
      </w:r>
    </w:p>
    <w:p w14:paraId="26E85074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剩余质保金：当前平台挂账质保金剩余总金额；</w:t>
      </w:r>
    </w:p>
    <w:p w14:paraId="15B01160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本月应付质保金：截止本月，挂账期满1年的质保金金额，平台将按照结算规则比例，向供应商支付该部分款项</w:t>
      </w:r>
    </w:p>
    <w:p w14:paraId="6278C4A6">
      <w:pPr>
        <w:keepNext w:val="0"/>
        <w:keepLines w:val="0"/>
        <w:pageBreakBefore w:val="0"/>
        <w:widowControl w:val="0"/>
        <w:numPr>
          <w:ilvl w:val="0"/>
          <w:numId w:val="1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基本信息：展示供应商质保金相关核心基础信息，确保信息可追溯、可核对，具体包含：供应商统一社会信用代码、供应商名称、质保金总金额、剩余质保金、已付质保金、订单结转质保金、本月应付质保金。</w:t>
      </w:r>
    </w:p>
    <w:p w14:paraId="3FC46F14">
      <w:pPr>
        <w:keepNext w:val="0"/>
        <w:keepLines w:val="0"/>
        <w:pageBreakBefore w:val="0"/>
        <w:widowControl w:val="0"/>
        <w:numPr>
          <w:ilvl w:val="0"/>
          <w:numId w:val="1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质保金计提明细：</w:t>
      </w:r>
      <w:r>
        <w:rPr>
          <w:rFonts w:hint="default"/>
          <w:lang w:val="en-US" w:eastAsia="zh-CN"/>
        </w:rPr>
        <w:t>展示每笔质保金的</w:t>
      </w:r>
      <w:r>
        <w:rPr>
          <w:rFonts w:hint="eastAsia"/>
          <w:lang w:val="en-US" w:eastAsia="zh-CN"/>
        </w:rPr>
        <w:t>计提</w:t>
      </w:r>
      <w:r>
        <w:rPr>
          <w:rFonts w:hint="default"/>
          <w:lang w:val="en-US" w:eastAsia="zh-CN"/>
        </w:rPr>
        <w:t>明细，全程留痕，便于供应商核对账务、追溯每笔资金流向，具体包含：订单编号、发票时间、货款支付时间、质保金金额、质保金结算月份、结算金额、该笔质保金剩余金额、质保金剩余总金额。</w:t>
      </w:r>
    </w:p>
    <w:p w14:paraId="09E8EBC6">
      <w:pPr>
        <w:keepNext w:val="0"/>
        <w:keepLines w:val="0"/>
        <w:pageBreakBefore w:val="0"/>
        <w:widowControl w:val="0"/>
        <w:numPr>
          <w:ilvl w:val="0"/>
          <w:numId w:val="1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质保金支付明细：展示质保金返还相关全部记录，实时跟踪返还进度，具体包含：质保金结算时间、质保金结算金额、质保金结算凭证、标签（标注为“到期返还”或“订单结转”），清晰区分质保金处理方式。</w:t>
      </w:r>
    </w:p>
    <w:p w14:paraId="07B1EF42">
      <w:pPr>
        <w:pStyle w:val="3"/>
      </w:pPr>
      <w:bookmarkStart w:id="37" w:name="_Toc21257"/>
      <w:r>
        <w:rPr>
          <w:rFonts w:hint="eastAsia"/>
          <w:lang w:val="en-US" w:eastAsia="zh-CN"/>
        </w:rPr>
        <w:t>订单结转</w:t>
      </w:r>
      <w:bookmarkEnd w:id="37"/>
    </w:p>
    <w:p w14:paraId="0A3DD7BD">
      <w:pPr>
        <w:pStyle w:val="12"/>
        <w:ind w:firstLine="560"/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当质保金挂账期满1年后，供应商若需在平台内使用该笔资金，可通过订单结转功能申请将质保金转为平台可用资金。</w:t>
      </w:r>
    </w:p>
    <w:p w14:paraId="3C36CE68">
      <w:pPr>
        <w:pStyle w:val="12"/>
        <w:ind w:firstLine="560"/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供应商在资金管理-账户资金界面，点击【</w:t>
      </w:r>
      <w:r>
        <w:rPr>
          <w:rFonts w:hint="eastAsia"/>
          <w:lang w:val="en-US" w:eastAsia="zh-CN"/>
        </w:rPr>
        <w:t>订单结转</w:t>
      </w:r>
      <w:r>
        <w:rPr>
          <w:rFonts w:hint="eastAsia" w:eastAsia="宋体"/>
          <w:lang w:val="en-US" w:eastAsia="zh-CN"/>
        </w:rPr>
        <w:t>申请】按钮，进入订单结转申请快捷界面，按规范填写</w:t>
      </w:r>
      <w:r>
        <w:rPr>
          <w:rFonts w:hint="eastAsia"/>
          <w:lang w:val="en-US" w:eastAsia="zh-CN"/>
        </w:rPr>
        <w:t>部门、</w:t>
      </w:r>
      <w:r>
        <w:rPr>
          <w:rFonts w:hint="eastAsia" w:eastAsia="宋体"/>
          <w:lang w:val="en-US" w:eastAsia="zh-CN"/>
        </w:rPr>
        <w:t>结转金额（申请金额不得大于当前可结转额度）及资金用途，确认信息无误后点击【提交】按钮，完成订单结转申请。申请提交后经龙煤宏泰资金会议审核通过，由平台运营管理员将核定质保金额度充值至供应商平台账户，可用于平台物流配送、贸易商城、自营商城等业务场景的后续交易使用。</w:t>
      </w:r>
    </w:p>
    <w:p w14:paraId="615C1ADF">
      <w:pPr>
        <w:pStyle w:val="12"/>
        <w:ind w:firstLine="560"/>
        <w:rPr>
          <w:rFonts w:hint="default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注意：龙煤宏泰资金会议核定的结转金额，可能小于供应商提交的申请金额，请以最终核定金额为准。</w:t>
      </w:r>
    </w:p>
    <w:p w14:paraId="120E61E1">
      <w:pPr>
        <w:pStyle w:val="2"/>
        <w:bidi w:val="0"/>
        <w:ind w:left="432" w:leftChars="0" w:hanging="432" w:firstLineChars="0"/>
        <w:rPr>
          <w:rFonts w:hint="default"/>
          <w:lang w:val="en-US" w:eastAsia="zh-CN"/>
        </w:rPr>
      </w:pPr>
      <w:bookmarkStart w:id="38" w:name="_Toc29398"/>
      <w:r>
        <w:rPr>
          <w:rFonts w:hint="eastAsia"/>
          <w:lang w:val="en-US" w:eastAsia="zh-CN"/>
        </w:rPr>
        <w:t>附则</w:t>
      </w:r>
      <w:bookmarkEnd w:id="38"/>
    </w:p>
    <w:p w14:paraId="4820ED13">
      <w:pPr>
        <w:pStyle w:val="3"/>
        <w:rPr>
          <w:rFonts w:hint="default"/>
          <w:lang w:val="en-US" w:eastAsia="zh-CN"/>
        </w:rPr>
      </w:pPr>
      <w:bookmarkStart w:id="39" w:name="_Toc1618"/>
      <w:r>
        <w:rPr>
          <w:rFonts w:hint="eastAsia"/>
          <w:lang w:val="en-US" w:eastAsia="zh-CN"/>
        </w:rPr>
        <w:t>术语说明</w:t>
      </w:r>
      <w:bookmarkEnd w:id="39"/>
    </w:p>
    <w:tbl>
      <w:tblPr>
        <w:tblStyle w:val="18"/>
        <w:tblW w:w="8522" w:type="dxa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3"/>
        <w:gridCol w:w="6979"/>
      </w:tblGrid>
      <w:tr w14:paraId="4DBAB0D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vAlign w:val="top"/>
          </w:tcPr>
          <w:p w14:paraId="5B210EEE">
            <w:pPr>
              <w:pStyle w:val="21"/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术语</w:t>
            </w:r>
          </w:p>
        </w:tc>
        <w:tc>
          <w:tcPr>
            <w:tcW w:w="697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vAlign w:val="top"/>
          </w:tcPr>
          <w:p w14:paraId="1AEDE09D">
            <w:pPr>
              <w:pStyle w:val="21"/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说明</w:t>
            </w:r>
          </w:p>
        </w:tc>
      </w:tr>
      <w:tr w14:paraId="3756D42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06A6B88E">
            <w:pPr>
              <w:pStyle w:val="22"/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框架合同</w:t>
            </w:r>
          </w:p>
        </w:tc>
        <w:tc>
          <w:tcPr>
            <w:tcW w:w="697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3E25B2CC">
            <w:pPr>
              <w:pStyle w:val="22"/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依据中标结果签订的总合同，为全周期合作依据。</w:t>
            </w:r>
          </w:p>
        </w:tc>
      </w:tr>
      <w:tr w14:paraId="065E2E6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4F8B8792">
            <w:pPr>
              <w:pStyle w:val="22"/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结算合同</w:t>
            </w:r>
          </w:p>
        </w:tc>
        <w:tc>
          <w:tcPr>
            <w:tcW w:w="697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08E6D263">
            <w:pPr>
              <w:pStyle w:val="22"/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按月度消耗签订的合同，为付款依据。</w:t>
            </w:r>
          </w:p>
        </w:tc>
      </w:tr>
      <w:tr w14:paraId="7A65FD3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4CD1CEF9">
            <w:pPr>
              <w:pStyle w:val="22"/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质保金</w:t>
            </w:r>
          </w:p>
        </w:tc>
        <w:tc>
          <w:tcPr>
            <w:tcW w:w="697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16EECA6F">
            <w:pPr>
              <w:pStyle w:val="22"/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结算金额中暂扣部分，用于质量保证，期满返还。</w:t>
            </w:r>
          </w:p>
        </w:tc>
      </w:tr>
      <w:tr w14:paraId="4B3E8BE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54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4BC0C788">
            <w:pPr>
              <w:pStyle w:val="22"/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订单结转</w:t>
            </w:r>
          </w:p>
        </w:tc>
        <w:tc>
          <w:tcPr>
            <w:tcW w:w="697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09D872EA">
            <w:pPr>
              <w:pStyle w:val="22"/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质保金转为平台内可用资金，用于再交易。</w:t>
            </w:r>
          </w:p>
        </w:tc>
      </w:tr>
    </w:tbl>
    <w:p w14:paraId="0AD687A0">
      <w:pPr>
        <w:pStyle w:val="3"/>
        <w:rPr>
          <w:rFonts w:hint="default"/>
          <w:lang w:val="en-US" w:eastAsia="zh-CN"/>
        </w:rPr>
      </w:pPr>
      <w:bookmarkStart w:id="40" w:name="_Toc20197"/>
      <w:r>
        <w:rPr>
          <w:rFonts w:hint="eastAsia"/>
          <w:lang w:val="en-US" w:eastAsia="zh-CN"/>
        </w:rPr>
        <w:t>服务与联系方式</w:t>
      </w:r>
      <w:bookmarkEnd w:id="40"/>
    </w:p>
    <w:p w14:paraId="7C6A0ED9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default" w:eastAsia="宋体"/>
          <w:lang w:val="en-US" w:eastAsia="zh-CN"/>
        </w:rPr>
      </w:pPr>
      <w:r>
        <w:rPr>
          <w:rFonts w:hint="default" w:eastAsia="宋体"/>
          <w:lang w:val="en-US" w:eastAsia="zh-CN"/>
        </w:rPr>
        <w:t>为保障供应商在平台使用过程中顺利开展业务，及时解决操作疑问、处理业务异常，平台提供全方位服务支持及明确的联系方式，确保问题快速响应、高效解决，助力供应商便捷完成合同签署、商品管理、订单履约、资金结算等各项业务。</w:t>
      </w:r>
    </w:p>
    <w:p w14:paraId="50C1B4A7">
      <w:pPr>
        <w:keepNext w:val="0"/>
        <w:keepLines w:val="0"/>
        <w:pageBreakBefore w:val="0"/>
        <w:widowControl w:val="0"/>
        <w:numPr>
          <w:ilvl w:val="0"/>
          <w:numId w:val="1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 w:eastAsia="宋体"/>
          <w:lang w:val="en-US" w:eastAsia="zh-CN"/>
        </w:rPr>
        <w:t>服务范围</w:t>
      </w:r>
    </w:p>
    <w:p w14:paraId="433CCD7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平台为供应商提供全流程服务支持，覆盖系统操作、业务办理、问题咨询等全场景，具体服务范围如下：</w:t>
      </w:r>
    </w:p>
    <w:p w14:paraId="077A1DE0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系统操作支持：平台登录异常、功能操作疑问、界面显示异常、数据同步问题等系统相关咨询与处理；</w:t>
      </w:r>
    </w:p>
    <w:p w14:paraId="5B683B18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业务办理指导：合同签署、商品完善与审核、订单发货、结算开票、质保金管理、订单结转等业务流程指导；</w:t>
      </w:r>
    </w:p>
    <w:p w14:paraId="080732DC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异常问题处理：订单异常、结算异常、发票审核异常、资金到账异常、质保金返还异常等问题的协调与处理；</w:t>
      </w:r>
    </w:p>
    <w:p w14:paraId="1B239024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信息咨询服务：平台运营规则、结算政策、质保金规则、系统更新通知等相关信息咨询；</w:t>
      </w:r>
    </w:p>
    <w:p w14:paraId="486E7B0B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反馈与建议受理：供应商对平台功能、服务质量、业务流程的意见建议收集与反馈跟进。</w:t>
      </w:r>
    </w:p>
    <w:p w14:paraId="175EA82D">
      <w:pPr>
        <w:keepNext w:val="0"/>
        <w:keepLines w:val="0"/>
        <w:pageBreakBefore w:val="0"/>
        <w:widowControl w:val="0"/>
        <w:numPr>
          <w:ilvl w:val="0"/>
          <w:numId w:val="1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 w:eastAsia="宋体"/>
          <w:lang w:val="en-US" w:eastAsia="zh-CN"/>
        </w:rPr>
        <w:t>咨询渠道</w:t>
      </w:r>
    </w:p>
    <w:p w14:paraId="2E5CC85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供应商</w:t>
      </w:r>
      <w:r>
        <w:rPr>
          <w:rFonts w:hint="eastAsia"/>
          <w:lang w:val="en-US" w:eastAsia="zh-CN"/>
        </w:rPr>
        <w:t>可通过咨询热线进行业务咨询、需求反馈，平台配备专职人员对接跟进，保障诉求及时响应处置：龙煤宏泰业务审核部 张胜利：18646022898。</w:t>
      </w:r>
    </w:p>
    <w:p w14:paraId="1BEA10F9">
      <w:pPr>
        <w:keepNext w:val="0"/>
        <w:keepLines w:val="0"/>
        <w:pageBreakBefore w:val="0"/>
        <w:widowControl w:val="0"/>
        <w:numPr>
          <w:ilvl w:val="0"/>
          <w:numId w:val="1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注意事项</w:t>
      </w:r>
    </w:p>
    <w:p w14:paraId="779397AE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咨询问题时，请清晰说明供应商名称、相关订单/合同编号、问题描述及相关凭证，便于工作人员快速定位问题、高效处理；</w:t>
      </w:r>
    </w:p>
    <w:p w14:paraId="3CDD0B4B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非服务时间提交的咨询、反馈，工作人员将在次日工作日第一时间响应处理，请耐心等待；</w:t>
      </w:r>
    </w:p>
    <w:p w14:paraId="29F0AE5F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联系方式若有变更，平台将通过系统公告、站内消息通知供应商，请及时关注平台通知，更新联系方式。</w:t>
      </w:r>
    </w:p>
    <w:sectPr>
      <w:footerReference r:id="rId5" w:type="default"/>
      <w:pgSz w:w="11906" w:h="16838"/>
      <w:pgMar w:top="1440" w:right="1800" w:bottom="1440" w:left="1800" w:header="1134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楷体简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DF663B">
    <w:pPr>
      <w:pStyle w:val="1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FE5CB51">
                          <w:pPr>
                            <w:pStyle w:val="1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FE5CB51">
                    <w:pPr>
                      <w:pStyle w:val="1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52A46A">
    <w:pPr>
      <w:pStyle w:val="1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EED194A">
                          <w:pPr>
                            <w:pStyle w:val="1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EED194A">
                    <w:pPr>
                      <w:pStyle w:val="1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CB3B1D">
    <w:pPr>
      <w:pStyle w:val="15"/>
      <w:pBdr>
        <w:bottom w:val="single" w:color="auto" w:sz="4" w:space="1"/>
      </w:pBdr>
      <w:jc w:val="center"/>
      <w:rPr>
        <w:rFonts w:hint="default" w:eastAsiaTheme="minorEastAsia"/>
        <w:sz w:val="21"/>
        <w:szCs w:val="32"/>
        <w:lang w:val="en-US" w:eastAsia="zh-CN"/>
      </w:rPr>
    </w:pPr>
    <w:r>
      <w:rPr>
        <w:rFonts w:hint="eastAsia"/>
        <w:sz w:val="21"/>
        <w:szCs w:val="32"/>
        <w:lang w:val="en-US" w:eastAsia="zh-CN"/>
      </w:rPr>
      <w:t>龙煤宏泰电商平台用户操作手册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0FFF1DB"/>
    <w:multiLevelType w:val="singleLevel"/>
    <w:tmpl w:val="90FFF1DB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1">
    <w:nsid w:val="AD8B3E3E"/>
    <w:multiLevelType w:val="singleLevel"/>
    <w:tmpl w:val="AD8B3E3E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2">
    <w:nsid w:val="B0B15DDE"/>
    <w:multiLevelType w:val="singleLevel"/>
    <w:tmpl w:val="B0B15DDE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3">
    <w:nsid w:val="BA122122"/>
    <w:multiLevelType w:val="singleLevel"/>
    <w:tmpl w:val="BA122122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4">
    <w:nsid w:val="C58CA42F"/>
    <w:multiLevelType w:val="singleLevel"/>
    <w:tmpl w:val="C58CA42F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5">
    <w:nsid w:val="D383E536"/>
    <w:multiLevelType w:val="singleLevel"/>
    <w:tmpl w:val="D383E536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6">
    <w:nsid w:val="D4823402"/>
    <w:multiLevelType w:val="singleLevel"/>
    <w:tmpl w:val="D4823402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7">
    <w:nsid w:val="D5721CE2"/>
    <w:multiLevelType w:val="singleLevel"/>
    <w:tmpl w:val="D5721CE2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8">
    <w:nsid w:val="DDDB8622"/>
    <w:multiLevelType w:val="singleLevel"/>
    <w:tmpl w:val="DDDB8622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9">
    <w:nsid w:val="24601028"/>
    <w:multiLevelType w:val="singleLevel"/>
    <w:tmpl w:val="24601028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10">
    <w:nsid w:val="41BF1F83"/>
    <w:multiLevelType w:val="multilevel"/>
    <w:tmpl w:val="41BF1F83"/>
    <w:lvl w:ilvl="0" w:tentative="0">
      <w:start w:val="1"/>
      <w:numFmt w:val="chineseCounting"/>
      <w:pStyle w:val="2"/>
      <w:suff w:val="nothing"/>
      <w:lvlText w:val="第%1章 "/>
      <w:lvlJc w:val="left"/>
      <w:pPr>
        <w:ind w:left="432" w:hanging="432"/>
      </w:pPr>
      <w:rPr>
        <w:rFonts w:hint="eastAsia"/>
      </w:rPr>
    </w:lvl>
    <w:lvl w:ilvl="1" w:tentative="0">
      <w:start w:val="1"/>
      <w:numFmt w:val="decimal"/>
      <w:pStyle w:val="3"/>
      <w:isLgl/>
      <w:lvlText w:val="%1.%2."/>
      <w:lvlJc w:val="left"/>
      <w:pPr>
        <w:ind w:left="575" w:hanging="575"/>
      </w:pPr>
      <w:rPr>
        <w:rFonts w:hint="eastAsia"/>
      </w:rPr>
    </w:lvl>
    <w:lvl w:ilvl="2" w:tentative="0">
      <w:start w:val="1"/>
      <w:numFmt w:val="decimal"/>
      <w:pStyle w:val="4"/>
      <w:isLgl/>
      <w:lvlText w:val="%1.%2.%3."/>
      <w:lvlJc w:val="left"/>
      <w:pPr>
        <w:ind w:left="720" w:hanging="720"/>
      </w:pPr>
      <w:rPr>
        <w:rFonts w:hint="eastAsia"/>
      </w:rPr>
    </w:lvl>
    <w:lvl w:ilvl="3" w:tentative="0">
      <w:start w:val="1"/>
      <w:numFmt w:val="decimal"/>
      <w:pStyle w:val="5"/>
      <w:isLgl/>
      <w:lvlText w:val="%1.%2.%3.%4.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pStyle w:val="6"/>
      <w:isLgl/>
      <w:lvlText w:val="%1.%2.%3.%4.%5.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pStyle w:val="7"/>
      <w:isLgl/>
      <w:lvlText w:val="%1.%2.%3.%4.%5.%6."/>
      <w:lvlJc w:val="left"/>
      <w:pPr>
        <w:ind w:left="1151" w:hanging="1151"/>
      </w:pPr>
      <w:rPr>
        <w:rFonts w:hint="eastAsia"/>
      </w:rPr>
    </w:lvl>
    <w:lvl w:ilvl="6" w:tentative="0">
      <w:start w:val="1"/>
      <w:numFmt w:val="decimal"/>
      <w:pStyle w:val="8"/>
      <w:isLgl/>
      <w:lvlText w:val="%1.%2.%3.%4.%5.%6.%7.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pStyle w:val="9"/>
      <w:isLgl/>
      <w:lvlText w:val="%1.%2.%3.%4.%5.%6.%7.%8.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pStyle w:val="10"/>
      <w:isLgl/>
      <w:lvlText w:val="%1.%2.%3.%4.%5.%6.%7.%8.%9."/>
      <w:lvlJc w:val="left"/>
      <w:pPr>
        <w:ind w:left="1583" w:hanging="1583"/>
      </w:pPr>
      <w:rPr>
        <w:rFonts w:hint="eastAsia"/>
      </w:rPr>
    </w:lvl>
  </w:abstractNum>
  <w:abstractNum w:abstractNumId="11">
    <w:nsid w:val="4A24DA0A"/>
    <w:multiLevelType w:val="singleLevel"/>
    <w:tmpl w:val="4A24DA0A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12">
    <w:nsid w:val="650FF4A8"/>
    <w:multiLevelType w:val="singleLevel"/>
    <w:tmpl w:val="650FF4A8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13">
    <w:nsid w:val="6DC553D3"/>
    <w:multiLevelType w:val="singleLevel"/>
    <w:tmpl w:val="6DC553D3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14">
    <w:nsid w:val="70C2F35D"/>
    <w:multiLevelType w:val="singleLevel"/>
    <w:tmpl w:val="70C2F35D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10"/>
  </w:num>
  <w:num w:numId="2">
    <w:abstractNumId w:val="0"/>
  </w:num>
  <w:num w:numId="3">
    <w:abstractNumId w:val="7"/>
  </w:num>
  <w:num w:numId="4">
    <w:abstractNumId w:val="13"/>
  </w:num>
  <w:num w:numId="5">
    <w:abstractNumId w:val="1"/>
  </w:num>
  <w:num w:numId="6">
    <w:abstractNumId w:val="12"/>
  </w:num>
  <w:num w:numId="7">
    <w:abstractNumId w:val="14"/>
  </w:num>
  <w:num w:numId="8">
    <w:abstractNumId w:val="11"/>
  </w:num>
  <w:num w:numId="9">
    <w:abstractNumId w:val="2"/>
  </w:num>
  <w:num w:numId="10">
    <w:abstractNumId w:val="8"/>
  </w:num>
  <w:num w:numId="11">
    <w:abstractNumId w:val="5"/>
  </w:num>
  <w:num w:numId="12">
    <w:abstractNumId w:val="4"/>
  </w:num>
  <w:num w:numId="13">
    <w:abstractNumId w:val="3"/>
  </w:num>
  <w:num w:numId="14">
    <w:abstractNumId w:val="6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2E697E"/>
    <w:rsid w:val="01BD150E"/>
    <w:rsid w:val="02436BBC"/>
    <w:rsid w:val="081617B9"/>
    <w:rsid w:val="113506B4"/>
    <w:rsid w:val="131A4B9C"/>
    <w:rsid w:val="15037C91"/>
    <w:rsid w:val="1913377C"/>
    <w:rsid w:val="269E010F"/>
    <w:rsid w:val="2E957DA4"/>
    <w:rsid w:val="2EF27E76"/>
    <w:rsid w:val="31064BA2"/>
    <w:rsid w:val="32010F9C"/>
    <w:rsid w:val="33EE5EE9"/>
    <w:rsid w:val="3870512F"/>
    <w:rsid w:val="3A665A11"/>
    <w:rsid w:val="3C57200F"/>
    <w:rsid w:val="3D1D5950"/>
    <w:rsid w:val="4BB5041C"/>
    <w:rsid w:val="4C5409DC"/>
    <w:rsid w:val="4E2215E3"/>
    <w:rsid w:val="4FB126FD"/>
    <w:rsid w:val="55656DC4"/>
    <w:rsid w:val="56B96496"/>
    <w:rsid w:val="5F9653B2"/>
    <w:rsid w:val="5FA40AC1"/>
    <w:rsid w:val="64C5513F"/>
    <w:rsid w:val="67960676"/>
    <w:rsid w:val="6AE56586"/>
    <w:rsid w:val="732F7D15"/>
    <w:rsid w:val="742A65B6"/>
    <w:rsid w:val="752E697E"/>
    <w:rsid w:val="77853A88"/>
    <w:rsid w:val="79F648E3"/>
    <w:rsid w:val="7F081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340" w:beforeLines="0" w:beforeAutospacing="0" w:after="330" w:afterLines="0" w:afterAutospacing="0" w:line="576" w:lineRule="auto"/>
      <w:ind w:left="432" w:hanging="432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numPr>
        <w:ilvl w:val="1"/>
        <w:numId w:val="1"/>
      </w:numPr>
      <w:spacing w:before="260" w:beforeLines="0" w:beforeAutospacing="0" w:after="260" w:afterLines="0" w:afterAutospacing="0" w:line="413" w:lineRule="auto"/>
      <w:ind w:left="575" w:hanging="575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numPr>
        <w:ilvl w:val="2"/>
        <w:numId w:val="1"/>
      </w:numPr>
      <w:spacing w:before="260" w:beforeLines="0" w:beforeAutospacing="0" w:after="260" w:afterLines="0" w:afterAutospacing="0" w:line="413" w:lineRule="auto"/>
      <w:ind w:left="720" w:hanging="720"/>
      <w:outlineLvl w:val="2"/>
    </w:pPr>
    <w:rPr>
      <w:rFonts w:asciiTheme="minorAscii" w:hAnsiTheme="minorAscii"/>
      <w:b/>
      <w:sz w:val="28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1"/>
      </w:numPr>
      <w:spacing w:before="280" w:beforeLines="0" w:beforeAutospacing="0" w:after="290" w:afterLines="0" w:afterAutospacing="0" w:line="372" w:lineRule="auto"/>
      <w:ind w:left="864" w:hanging="864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left="1008" w:hanging="1008"/>
      <w:outlineLvl w:val="4"/>
    </w:pPr>
    <w:rPr>
      <w:b/>
      <w:sz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left="1151" w:hanging="1151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left="1296" w:hanging="1296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left="1440" w:hanging="1440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left="1583" w:hanging="1583"/>
      <w:outlineLvl w:val="8"/>
    </w:pPr>
    <w:rPr>
      <w:rFonts w:ascii="Arial" w:hAnsi="Arial" w:eastAsia="黑体"/>
      <w:sz w:val="21"/>
    </w:rPr>
  </w:style>
  <w:style w:type="character" w:default="1" w:styleId="20">
    <w:name w:val="Default Paragraph Font"/>
    <w:semiHidden/>
    <w:qFormat/>
    <w:uiPriority w:val="0"/>
  </w:style>
  <w:style w:type="table" w:default="1" w:styleId="1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caption"/>
    <w:basedOn w:val="1"/>
    <w:next w:val="1"/>
    <w:semiHidden/>
    <w:unhideWhenUsed/>
    <w:qFormat/>
    <w:uiPriority w:val="0"/>
    <w:pPr>
      <w:spacing w:before="120" w:after="120"/>
      <w:jc w:val="center"/>
    </w:pPr>
    <w:rPr>
      <w:rFonts w:ascii="Arial" w:hAnsi="Arial" w:eastAsia="黑体"/>
      <w:sz w:val="20"/>
    </w:rPr>
  </w:style>
  <w:style w:type="paragraph" w:styleId="12">
    <w:name w:val="Body Text"/>
    <w:basedOn w:val="1"/>
    <w:next w:val="1"/>
    <w:unhideWhenUsed/>
    <w:qFormat/>
    <w:uiPriority w:val="0"/>
    <w:pPr>
      <w:widowControl w:val="0"/>
      <w:adjustRightInd/>
      <w:snapToGrid/>
      <w:spacing w:line="440" w:lineRule="exact"/>
      <w:ind w:firstLine="560" w:firstLineChars="200"/>
      <w:textAlignment w:val="auto"/>
    </w:pPr>
    <w:rPr>
      <w:rFonts w:ascii="Calibri" w:hAnsi="Calibri" w:eastAsia="宋体"/>
      <w:szCs w:val="22"/>
    </w:rPr>
  </w:style>
  <w:style w:type="paragraph" w:styleId="13">
    <w:name w:val="toc 3"/>
    <w:basedOn w:val="1"/>
    <w:next w:val="1"/>
    <w:qFormat/>
    <w:uiPriority w:val="0"/>
    <w:pPr>
      <w:ind w:left="840" w:leftChars="400"/>
    </w:pPr>
  </w:style>
  <w:style w:type="paragraph" w:styleId="1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6">
    <w:name w:val="toc 1"/>
    <w:basedOn w:val="1"/>
    <w:next w:val="1"/>
    <w:qFormat/>
    <w:uiPriority w:val="0"/>
  </w:style>
  <w:style w:type="paragraph" w:styleId="17">
    <w:name w:val="toc 2"/>
    <w:basedOn w:val="1"/>
    <w:next w:val="1"/>
    <w:qFormat/>
    <w:uiPriority w:val="0"/>
    <w:pPr>
      <w:ind w:left="420" w:leftChars="200"/>
    </w:pPr>
  </w:style>
  <w:style w:type="table" w:styleId="19">
    <w:name w:val="Table Grid"/>
    <w:basedOn w:val="1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21">
    <w:name w:val="表格首行"/>
    <w:basedOn w:val="1"/>
    <w:autoRedefine/>
    <w:qFormat/>
    <w:uiPriority w:val="0"/>
    <w:pPr>
      <w:spacing w:before="50" w:beforeLines="50" w:after="30" w:afterLines="30" w:line="420" w:lineRule="exact"/>
      <w:jc w:val="both"/>
    </w:pPr>
    <w:rPr>
      <w:rFonts w:ascii="宋体" w:hAnsi="宋体" w:eastAsia="黑体"/>
    </w:rPr>
  </w:style>
  <w:style w:type="paragraph" w:customStyle="1" w:styleId="22">
    <w:name w:val="表格正文"/>
    <w:basedOn w:val="1"/>
    <w:autoRedefine/>
    <w:qFormat/>
    <w:uiPriority w:val="0"/>
    <w:pPr>
      <w:snapToGrid w:val="0"/>
      <w:spacing w:after="0" w:afterLines="0" w:line="300" w:lineRule="exact"/>
    </w:pPr>
    <w:rPr>
      <w:rFonts w:ascii="Times New Roman" w:hAnsi="Times New Roman" w:eastAsia="方正楷体简体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25</Pages>
  <Words>447</Words>
  <Characters>619</Characters>
  <Lines>0</Lines>
  <Paragraphs>0</Paragraphs>
  <TotalTime>4</TotalTime>
  <ScaleCrop>false</ScaleCrop>
  <LinksUpToDate>false</LinksUpToDate>
  <CharactersWithSpaces>709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2026-04-28T08:32:00Z</dcterms:created>
  <dc:creator>熊猫是胖墩</dc:creator>
  <cp:lastModifiedBy>熊猫是胖墩</cp:lastModifiedBy>
  <dcterms:modified xsi:type="dcterms:W3CDTF">2026-08-13T01:31:07Z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2AEC7BAB8DE2491BA60660551E61C159_11</vt:lpwstr>
  </property>
  <property fmtid="{D5CDD505-2E9C-101B-9397-08002B2CF9AE}" pid="4" name="KSOTemplateDocerSaveRecord">
    <vt:lpwstr>eyJoZGlkIjoiNDI1NGQ4MDY4NjMxYWVlMzc3ODM2NDE0MmU1ODUxYzYiLCJ1c2VySWQiOiI0ODM0NjEwNDcifQ==</vt:lpwstr>
  </property>
</Properties>
</file>